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41573" w:rsidTr="00A94EDF">
        <w:trPr>
          <w:jc w:val="center"/>
        </w:trPr>
        <w:tc>
          <w:tcPr>
            <w:tcW w:w="743" w:type="dxa"/>
            <w:hideMark/>
          </w:tcPr>
          <w:p w:rsidR="00741573" w:rsidRDefault="00741573" w:rsidP="00A94EDF">
            <w:pPr>
              <w:jc w:val="both"/>
              <w:rPr>
                <w:rFonts w:ascii="Arial (W1)" w:hAnsi="Arial (W1)"/>
                <w:b/>
                <w:bCs/>
                <w:sz w:val="28"/>
                <w:szCs w:val="28"/>
              </w:rPr>
            </w:pPr>
            <w:bookmarkStart w:id="0" w:name="_GoBack"/>
            <w:bookmarkEnd w:id="0"/>
            <w:r>
              <w:rPr>
                <w:rFonts w:hint="cs"/>
                <w:b/>
                <w:bCs/>
                <w:sz w:val="28"/>
                <w:rtl/>
              </w:rPr>
              <w:t xml:space="preserve">לפני </w:t>
            </w:r>
          </w:p>
        </w:tc>
        <w:tc>
          <w:tcPr>
            <w:tcW w:w="8077" w:type="dxa"/>
            <w:gridSpan w:val="2"/>
            <w:hideMark/>
          </w:tcPr>
          <w:p w:rsidR="00741573" w:rsidRDefault="00741573" w:rsidP="00A94EDF">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741573" w:rsidRPr="006816EC" w:rsidRDefault="00741573" w:rsidP="00A94EDF"/>
        </w:tc>
      </w:tr>
      <w:tr w:rsidR="00741573" w:rsidTr="00A94EDF">
        <w:trPr>
          <w:jc w:val="center"/>
        </w:trPr>
        <w:tc>
          <w:tcPr>
            <w:tcW w:w="3249" w:type="dxa"/>
            <w:gridSpan w:val="2"/>
          </w:tcPr>
          <w:p w:rsidR="00741573" w:rsidRDefault="00741573" w:rsidP="00A94EDF">
            <w:pPr>
              <w:bidi w:val="0"/>
              <w:rPr>
                <w:rFonts w:ascii="Arial (W1)" w:hAnsi="Arial (W1)"/>
                <w:b/>
                <w:bCs/>
                <w:noProof w:val="0"/>
                <w:sz w:val="28"/>
                <w:szCs w:val="28"/>
                <w:rtl/>
              </w:rPr>
            </w:pPr>
          </w:p>
          <w:sdt>
            <w:sdtPr>
              <w:rPr>
                <w:rFonts w:hint="cs"/>
                <w:rtl/>
              </w:rPr>
              <w:alias w:val="1180"/>
              <w:tag w:val="1180"/>
              <w:id w:val="-803768281"/>
              <w:text w:multiLine="1"/>
            </w:sdtPr>
            <w:sdtEndPr/>
            <w:sdtContent>
              <w:p w:rsidR="00741573" w:rsidRDefault="00741573" w:rsidP="00A94EDF">
                <w:pPr>
                  <w:rPr>
                    <w:rFonts w:ascii="Arial (W1)" w:hAnsi="Arial (W1)"/>
                    <w:b/>
                    <w:bCs/>
                    <w:noProof w:val="0"/>
                    <w:sz w:val="28"/>
                    <w:szCs w:val="28"/>
                  </w:rPr>
                </w:pPr>
                <w:r>
                  <w:rPr>
                    <w:rFonts w:hint="cs"/>
                    <w:b/>
                    <w:bCs/>
                    <w:noProof w:val="0"/>
                    <w:sz w:val="28"/>
                    <w:rtl/>
                  </w:rPr>
                  <w:t>תובעת</w:t>
                </w:r>
              </w:p>
            </w:sdtContent>
          </w:sdt>
        </w:tc>
        <w:tc>
          <w:tcPr>
            <w:tcW w:w="5571" w:type="dxa"/>
          </w:tcPr>
          <w:p w:rsidR="00741573" w:rsidRDefault="00741573" w:rsidP="00A94EDF">
            <w:pPr>
              <w:rPr>
                <w:rFonts w:ascii="Arial (W1)" w:hAnsi="Arial (W1)"/>
                <w:b/>
                <w:bCs/>
                <w:noProof w:val="0"/>
                <w:sz w:val="28"/>
                <w:szCs w:val="28"/>
                <w:rtl/>
              </w:rPr>
            </w:pPr>
          </w:p>
          <w:p w:rsidR="00741573" w:rsidRDefault="00E00392" w:rsidP="00A94EDF">
            <w:pPr>
              <w:rPr>
                <w:rFonts w:ascii="Arial" w:hAnsi="Arial"/>
                <w:b/>
                <w:bCs/>
                <w:noProof w:val="0"/>
                <w:sz w:val="26"/>
                <w:szCs w:val="26"/>
                <w:rtl/>
              </w:rPr>
            </w:pPr>
            <w:r>
              <w:rPr>
                <w:rFonts w:hint="cs"/>
                <w:b/>
                <w:bCs/>
                <w:noProof w:val="0"/>
                <w:sz w:val="28"/>
                <w:rtl/>
              </w:rPr>
              <w:t>פלונית</w:t>
            </w:r>
            <w:r w:rsidR="00741573">
              <w:rPr>
                <w:rFonts w:hint="cs"/>
                <w:b/>
                <w:bCs/>
                <w:noProof w:val="0"/>
                <w:sz w:val="28"/>
                <w:rtl/>
              </w:rPr>
              <w:t xml:space="preserve"> </w:t>
            </w:r>
          </w:p>
          <w:p w:rsidR="00741573" w:rsidRDefault="00741573" w:rsidP="00A94EDF">
            <w:pPr>
              <w:rPr>
                <w:rFonts w:ascii="Arial (W1)" w:hAnsi="Arial (W1)"/>
                <w:b/>
                <w:bCs/>
                <w:noProof w:val="0"/>
                <w:sz w:val="28"/>
                <w:szCs w:val="28"/>
              </w:rPr>
            </w:pPr>
          </w:p>
        </w:tc>
      </w:tr>
      <w:tr w:rsidR="00741573" w:rsidTr="00A94EDF">
        <w:trPr>
          <w:jc w:val="center"/>
        </w:trPr>
        <w:tc>
          <w:tcPr>
            <w:tcW w:w="8820" w:type="dxa"/>
            <w:gridSpan w:val="3"/>
          </w:tcPr>
          <w:p w:rsidR="00741573" w:rsidRPr="001A5C9F" w:rsidRDefault="00741573" w:rsidP="00A94EDF">
            <w:pPr>
              <w:rPr>
                <w:rFonts w:ascii="Arial (W1)" w:hAnsi="Arial (W1)"/>
                <w:b/>
                <w:bCs/>
                <w:noProof w:val="0"/>
                <w:sz w:val="28"/>
                <w:szCs w:val="28"/>
                <w:rtl/>
              </w:rPr>
            </w:pPr>
          </w:p>
          <w:p w:rsidR="00741573" w:rsidRDefault="00741573" w:rsidP="00A94EDF">
            <w:pPr>
              <w:jc w:val="center"/>
              <w:rPr>
                <w:b/>
                <w:bCs/>
                <w:noProof w:val="0"/>
                <w:sz w:val="28"/>
                <w:rtl/>
              </w:rPr>
            </w:pPr>
            <w:r>
              <w:rPr>
                <w:rFonts w:hint="cs"/>
                <w:b/>
                <w:bCs/>
                <w:noProof w:val="0"/>
                <w:sz w:val="28"/>
                <w:rtl/>
              </w:rPr>
              <w:t>נגד</w:t>
            </w:r>
          </w:p>
          <w:p w:rsidR="00741573" w:rsidRDefault="00741573" w:rsidP="00A94EDF">
            <w:pPr>
              <w:rPr>
                <w:rFonts w:ascii="Arial (W1)" w:hAnsi="Arial (W1)"/>
                <w:b/>
                <w:bCs/>
                <w:noProof w:val="0"/>
                <w:sz w:val="28"/>
                <w:szCs w:val="28"/>
              </w:rPr>
            </w:pPr>
          </w:p>
        </w:tc>
      </w:tr>
      <w:tr w:rsidR="00741573" w:rsidTr="00A94EDF">
        <w:trPr>
          <w:jc w:val="center"/>
        </w:trPr>
        <w:tc>
          <w:tcPr>
            <w:tcW w:w="3249" w:type="dxa"/>
            <w:gridSpan w:val="2"/>
          </w:tcPr>
          <w:p w:rsidR="00741573" w:rsidRDefault="00741573" w:rsidP="00A94EDF">
            <w:pPr>
              <w:rPr>
                <w:rFonts w:ascii="Arial (W1)" w:hAnsi="Arial (W1)"/>
                <w:b/>
                <w:bCs/>
                <w:noProof w:val="0"/>
                <w:sz w:val="28"/>
                <w:szCs w:val="28"/>
                <w:rtl/>
              </w:rPr>
            </w:pPr>
          </w:p>
          <w:p w:rsidR="00741573" w:rsidRDefault="0041644A" w:rsidP="00A94EDF">
            <w:pPr>
              <w:rPr>
                <w:rFonts w:ascii="Arial (W1)" w:hAnsi="Arial (W1)"/>
                <w:b/>
                <w:bCs/>
                <w:noProof w:val="0"/>
                <w:sz w:val="28"/>
                <w:szCs w:val="28"/>
              </w:rPr>
            </w:pPr>
            <w:sdt>
              <w:sdtPr>
                <w:rPr>
                  <w:rFonts w:hint="cs"/>
                  <w:rtl/>
                </w:rPr>
                <w:alias w:val="1184"/>
                <w:tag w:val="1184"/>
                <w:id w:val="-910234160"/>
                <w:text w:multiLine="1"/>
              </w:sdtPr>
              <w:sdtEndPr/>
              <w:sdtContent>
                <w:r w:rsidR="00741573">
                  <w:rPr>
                    <w:rFonts w:hint="cs"/>
                    <w:b/>
                    <w:bCs/>
                    <w:noProof w:val="0"/>
                    <w:sz w:val="28"/>
                    <w:rtl/>
                  </w:rPr>
                  <w:t>נתבע</w:t>
                </w:r>
              </w:sdtContent>
            </w:sdt>
          </w:p>
        </w:tc>
        <w:tc>
          <w:tcPr>
            <w:tcW w:w="5571" w:type="dxa"/>
          </w:tcPr>
          <w:p w:rsidR="00741573" w:rsidRDefault="00741573" w:rsidP="00A94EDF">
            <w:pPr>
              <w:rPr>
                <w:rFonts w:ascii="Arial (W1)" w:hAnsi="Arial (W1)"/>
                <w:b/>
                <w:bCs/>
                <w:noProof w:val="0"/>
                <w:sz w:val="28"/>
                <w:szCs w:val="28"/>
                <w:rtl/>
              </w:rPr>
            </w:pPr>
          </w:p>
          <w:p w:rsidR="00741573" w:rsidRDefault="00E00392" w:rsidP="00A94EDF">
            <w:pPr>
              <w:rPr>
                <w:rFonts w:ascii="Arial" w:hAnsi="Arial"/>
                <w:b/>
                <w:bCs/>
                <w:noProof w:val="0"/>
                <w:sz w:val="26"/>
                <w:szCs w:val="26"/>
                <w:rtl/>
              </w:rPr>
            </w:pPr>
            <w:r>
              <w:rPr>
                <w:rFonts w:hint="cs"/>
                <w:b/>
                <w:bCs/>
                <w:noProof w:val="0"/>
                <w:sz w:val="28"/>
                <w:rtl/>
              </w:rPr>
              <w:t>פלוני</w:t>
            </w:r>
          </w:p>
          <w:p w:rsidR="00741573" w:rsidRDefault="00741573" w:rsidP="00A94EDF">
            <w:pPr>
              <w:rPr>
                <w:rFonts w:ascii="Arial (W1)" w:hAnsi="Arial (W1)"/>
                <w:b/>
                <w:bCs/>
                <w:noProof w:val="0"/>
                <w:sz w:val="28"/>
                <w:szCs w:val="28"/>
              </w:rPr>
            </w:pPr>
          </w:p>
        </w:tc>
      </w:tr>
    </w:tbl>
    <w:p w:rsidR="00741573" w:rsidRDefault="00741573" w:rsidP="00741573">
      <w:pPr>
        <w:suppressLineNumbers/>
        <w:rPr>
          <w:rtl/>
        </w:rPr>
      </w:pPr>
    </w:p>
    <w:p w:rsidR="00741573" w:rsidRDefault="00741573" w:rsidP="00741573">
      <w:pPr>
        <w:suppressLineNumbers/>
        <w:rPr>
          <w:rtl/>
        </w:rPr>
      </w:pPr>
    </w:p>
    <w:p w:rsidR="00741573" w:rsidRDefault="00741573" w:rsidP="00741573">
      <w:pPr>
        <w:suppressLineNumbers/>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41573" w:rsidTr="00A94EDF">
        <w:trPr>
          <w:jc w:val="center"/>
        </w:trPr>
        <w:tc>
          <w:tcPr>
            <w:tcW w:w="8820" w:type="dxa"/>
          </w:tcPr>
          <w:p w:rsidR="00741573" w:rsidRDefault="00741573" w:rsidP="00E00392">
            <w:pPr>
              <w:bidi w:val="0"/>
              <w:jc w:val="center"/>
              <w:rPr>
                <w:rFonts w:ascii="Arial" w:hAnsi="Arial"/>
                <w:b/>
                <w:bCs/>
                <w:noProof w:val="0"/>
                <w:sz w:val="28"/>
                <w:szCs w:val="28"/>
                <w:u w:val="single"/>
              </w:rPr>
            </w:pPr>
            <w:r w:rsidRPr="00E00392">
              <w:rPr>
                <w:rFonts w:ascii="Arial" w:hAnsi="Arial"/>
                <w:b/>
                <w:bCs/>
                <w:noProof w:val="0"/>
                <w:sz w:val="32"/>
                <w:szCs w:val="32"/>
                <w:u w:val="single"/>
                <w:rtl/>
              </w:rPr>
              <w:t>פסק דין</w:t>
            </w:r>
          </w:p>
        </w:tc>
      </w:tr>
    </w:tbl>
    <w:p w:rsidR="00741573" w:rsidRPr="00E00392" w:rsidRDefault="00E00392" w:rsidP="00875F70">
      <w:pPr>
        <w:spacing w:line="360" w:lineRule="auto"/>
        <w:ind w:left="2880"/>
        <w:rPr>
          <w:rFonts w:ascii="Arial" w:hAnsi="Arial"/>
          <w:noProof w:val="0"/>
          <w:sz w:val="22"/>
          <w:szCs w:val="22"/>
          <w:rtl/>
        </w:rPr>
      </w:pPr>
      <w:r>
        <w:rPr>
          <w:rFonts w:ascii="Arial" w:hAnsi="Arial" w:hint="cs"/>
          <w:noProof w:val="0"/>
          <w:sz w:val="22"/>
          <w:szCs w:val="22"/>
          <w:rtl/>
        </w:rPr>
        <w:t xml:space="preserve">         </w:t>
      </w:r>
      <w:r w:rsidRPr="00E00392">
        <w:rPr>
          <w:rFonts w:ascii="Arial" w:hAnsi="Arial" w:hint="cs"/>
          <w:noProof w:val="0"/>
          <w:sz w:val="22"/>
          <w:szCs w:val="22"/>
          <w:rtl/>
        </w:rPr>
        <w:t xml:space="preserve">עותק לפרסום </w:t>
      </w:r>
    </w:p>
    <w:p w:rsidR="00E00392" w:rsidRDefault="00E00392" w:rsidP="00741573">
      <w:pPr>
        <w:spacing w:line="360" w:lineRule="auto"/>
        <w:jc w:val="both"/>
        <w:rPr>
          <w:rtl/>
        </w:rPr>
      </w:pPr>
    </w:p>
    <w:p w:rsidR="00741573" w:rsidRDefault="00741573" w:rsidP="00E00392">
      <w:pPr>
        <w:spacing w:line="360" w:lineRule="auto"/>
        <w:jc w:val="both"/>
        <w:rPr>
          <w:sz w:val="20"/>
          <w:szCs w:val="20"/>
        </w:rPr>
      </w:pPr>
      <w:r>
        <w:rPr>
          <w:rtl/>
        </w:rPr>
        <w:t>פסק דין זה עניינו הכרעה בתביעת מזונות קטינה, בתם המשותפת של הצדדים, ילידת</w:t>
      </w:r>
      <w:r w:rsidR="00E00392">
        <w:rPr>
          <w:rFonts w:hint="cs"/>
        </w:rPr>
        <w:t xml:space="preserve"> </w:t>
      </w:r>
      <w:r w:rsidR="00E00392">
        <w:rPr>
          <w:rFonts w:hint="cs"/>
          <w:rtl/>
        </w:rPr>
        <w:t>שנת</w:t>
      </w:r>
      <w:r>
        <w:rPr>
          <w:rtl/>
        </w:rPr>
        <w:t xml:space="preserve"> 2018</w:t>
      </w:r>
      <w:r>
        <w:rPr>
          <w:sz w:val="20"/>
          <w:szCs w:val="20"/>
          <w:rtl/>
        </w:rPr>
        <w:t>.</w:t>
      </w:r>
    </w:p>
    <w:p w:rsidR="00741573" w:rsidRDefault="00741573" w:rsidP="00741573">
      <w:pPr>
        <w:pStyle w:val="a4"/>
        <w:spacing w:line="360" w:lineRule="auto"/>
        <w:ind w:left="360"/>
        <w:jc w:val="both"/>
      </w:pPr>
    </w:p>
    <w:p w:rsidR="00741573" w:rsidRDefault="00741573" w:rsidP="00E00392">
      <w:pPr>
        <w:pStyle w:val="a4"/>
        <w:numPr>
          <w:ilvl w:val="0"/>
          <w:numId w:val="1"/>
        </w:numPr>
        <w:spacing w:line="360" w:lineRule="auto"/>
        <w:jc w:val="both"/>
      </w:pPr>
      <w:r>
        <w:rPr>
          <w:rtl/>
        </w:rPr>
        <w:t>התובעת (להלן גם: "</w:t>
      </w:r>
      <w:r>
        <w:rPr>
          <w:b/>
          <w:bCs/>
          <w:rtl/>
        </w:rPr>
        <w:t>האם</w:t>
      </w:r>
      <w:r>
        <w:rPr>
          <w:rtl/>
        </w:rPr>
        <w:t>") והנתבע (להלן גם: "</w:t>
      </w:r>
      <w:r>
        <w:rPr>
          <w:b/>
          <w:bCs/>
          <w:rtl/>
        </w:rPr>
        <w:t>האב</w:t>
      </w:r>
      <w:r w:rsidR="00E00392">
        <w:rPr>
          <w:rtl/>
        </w:rPr>
        <w:t xml:space="preserve">") נישאו זל"ז </w:t>
      </w:r>
      <w:r w:rsidR="00E00392">
        <w:rPr>
          <w:rFonts w:hint="cs"/>
          <w:rtl/>
        </w:rPr>
        <w:t>בשנת 2017</w:t>
      </w:r>
      <w:r>
        <w:rPr>
          <w:rtl/>
        </w:rPr>
        <w:t xml:space="preserve"> והתגרשו במרוצת ניהול ההליכים; לצדדים בת משותפת אחת, ילידת </w:t>
      </w:r>
      <w:r w:rsidR="00E00392">
        <w:rPr>
          <w:rFonts w:hint="cs"/>
          <w:rtl/>
        </w:rPr>
        <w:t xml:space="preserve">שנת 2018 </w:t>
      </w:r>
      <w:r>
        <w:rPr>
          <w:rtl/>
        </w:rPr>
        <w:t>(להלן: "</w:t>
      </w:r>
      <w:r>
        <w:rPr>
          <w:b/>
          <w:bCs/>
          <w:rtl/>
        </w:rPr>
        <w:t>הקטינה</w:t>
      </w:r>
      <w:r>
        <w:rPr>
          <w:rtl/>
        </w:rPr>
        <w:t>").</w:t>
      </w:r>
    </w:p>
    <w:p w:rsidR="00741573" w:rsidRDefault="00741573" w:rsidP="00741573">
      <w:pPr>
        <w:pStyle w:val="a4"/>
      </w:pPr>
    </w:p>
    <w:p w:rsidR="00741573" w:rsidRDefault="00741573" w:rsidP="00741573">
      <w:pPr>
        <w:spacing w:line="360" w:lineRule="auto"/>
        <w:jc w:val="both"/>
        <w:rPr>
          <w:b/>
          <w:bCs/>
          <w:u w:val="single"/>
          <w:rtl/>
        </w:rPr>
      </w:pPr>
      <w:r>
        <w:rPr>
          <w:b/>
          <w:bCs/>
          <w:u w:val="single"/>
          <w:rtl/>
        </w:rPr>
        <w:t>רקע דיוני נדרש</w:t>
      </w:r>
    </w:p>
    <w:p w:rsidR="00741573" w:rsidRDefault="00741573" w:rsidP="00741573">
      <w:pPr>
        <w:pStyle w:val="a4"/>
        <w:numPr>
          <w:ilvl w:val="0"/>
          <w:numId w:val="1"/>
        </w:numPr>
        <w:spacing w:line="360" w:lineRule="auto"/>
        <w:jc w:val="both"/>
      </w:pPr>
      <w:r>
        <w:rPr>
          <w:b/>
          <w:bCs/>
          <w:u w:val="single"/>
          <w:rtl/>
        </w:rPr>
        <w:t>ביום 25.5.2022</w:t>
      </w:r>
      <w:r>
        <w:rPr>
          <w:rtl/>
        </w:rPr>
        <w:t xml:space="preserve"> ניתנה החלטה לפסיקת מזונותיה הזמניים של הקטינה, אשר במסגרתה חויב האב בתשלום מזונותיה השוטפים בסך של 1,500 ₪ לחודש. הואיל והקטינה התגוררה עם אימה בבית הוריה, לא חויב האב בשלב זה במדור. עוד נקבע כי בהוצאות החינוך והרפואה החריגות של הקטינה, יישאו הצדדים בחלקים שווים.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b/>
          <w:bCs/>
          <w:u w:val="single"/>
          <w:rtl/>
        </w:rPr>
        <w:t>ביום 24.1.2023</w:t>
      </w:r>
      <w:r>
        <w:rPr>
          <w:rtl/>
        </w:rPr>
        <w:t xml:space="preserve"> ניתן פסק-דין מוסכם, לעניין אחריות הורית וחלוקת זמני שהות של הקטינה, הקובע אחריות  הורית משותפת וכן מתווה זמני השהות, כפי שנקבע ביום 4.1.2022 (ר' בעמ' 4, ש' 27-34 לפרוט' הדיון); כפי שיובא להלן:</w:t>
      </w:r>
    </w:p>
    <w:p w:rsidR="00741573" w:rsidRDefault="00741573" w:rsidP="00741573">
      <w:pPr>
        <w:pStyle w:val="a4"/>
      </w:pPr>
    </w:p>
    <w:p w:rsidR="00741573" w:rsidRDefault="00741573" w:rsidP="00741573">
      <w:pPr>
        <w:pStyle w:val="a4"/>
        <w:spacing w:line="360" w:lineRule="auto"/>
        <w:ind w:left="360"/>
        <w:jc w:val="both"/>
        <w:rPr>
          <w:rtl/>
        </w:rPr>
      </w:pPr>
      <w:r>
        <w:drawing>
          <wp:inline distT="0" distB="0" distL="0" distR="0" wp14:anchorId="345AAE4F" wp14:editId="15DDE99D">
            <wp:extent cx="4991100" cy="1771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1100" cy="1771650"/>
                    </a:xfrm>
                    <a:prstGeom prst="rect">
                      <a:avLst/>
                    </a:prstGeom>
                    <a:noFill/>
                    <a:ln>
                      <a:noFill/>
                    </a:ln>
                  </pic:spPr>
                </pic:pic>
              </a:graphicData>
            </a:graphic>
          </wp:inline>
        </w:drawing>
      </w:r>
    </w:p>
    <w:p w:rsidR="00741573" w:rsidRDefault="00741573" w:rsidP="00741573"/>
    <w:p w:rsidR="00741573" w:rsidRDefault="00741573" w:rsidP="00E00392">
      <w:pPr>
        <w:pStyle w:val="a4"/>
        <w:numPr>
          <w:ilvl w:val="0"/>
          <w:numId w:val="1"/>
        </w:numPr>
        <w:spacing w:line="360" w:lineRule="auto"/>
        <w:jc w:val="both"/>
      </w:pPr>
      <w:r>
        <w:rPr>
          <w:rtl/>
        </w:rPr>
        <w:t xml:space="preserve">להשלמת התמונה, יצוין, כי במסגרת ההליך הרכושי, לאחר הגשת חוות דעת שמאי בעניין </w:t>
      </w:r>
      <w:r w:rsidR="00E00392">
        <w:rPr>
          <w:rtl/>
        </w:rPr>
        <w:t>הנכס שנרכש במהלך נישואי הצדדים</w:t>
      </w:r>
      <w:r w:rsidR="00E00392">
        <w:rPr>
          <w:rFonts w:hint="cs"/>
        </w:rPr>
        <w:t xml:space="preserve"> </w:t>
      </w:r>
      <w:r>
        <w:rPr>
          <w:rtl/>
        </w:rPr>
        <w:t>(להלן: "</w:t>
      </w:r>
      <w:r>
        <w:rPr>
          <w:b/>
          <w:bCs/>
          <w:rtl/>
        </w:rPr>
        <w:t>הדירה</w:t>
      </w:r>
      <w:r>
        <w:rPr>
          <w:rtl/>
        </w:rPr>
        <w:t xml:space="preserve">") , ומחמת קשיים שהתעוררו בהליך פירוק </w:t>
      </w:r>
      <w:r>
        <w:rPr>
          <w:rtl/>
        </w:rPr>
        <w:lastRenderedPageBreak/>
        <w:t>השיתוף בין הצדדים, מונה כונס נכסים, להשלמת רכישת חלקה של התובעת בדירת המגורים על ידי הנתבע, כאשר ההליך התנהל במסגרת הלשכה להוצאה לפועל (ר' החלטה מיום 27.6.2022).</w:t>
      </w:r>
    </w:p>
    <w:p w:rsidR="00741573" w:rsidRDefault="00741573" w:rsidP="00741573">
      <w:pPr>
        <w:pStyle w:val="a4"/>
        <w:spacing w:line="360" w:lineRule="auto"/>
        <w:ind w:left="360"/>
        <w:jc w:val="both"/>
      </w:pPr>
    </w:p>
    <w:p w:rsidR="00741573" w:rsidRDefault="00741573" w:rsidP="00741573">
      <w:pPr>
        <w:pStyle w:val="a4"/>
        <w:numPr>
          <w:ilvl w:val="0"/>
          <w:numId w:val="1"/>
        </w:numPr>
        <w:spacing w:line="360" w:lineRule="auto"/>
        <w:jc w:val="both"/>
        <w:rPr>
          <w:b/>
          <w:bCs/>
          <w:u w:val="single"/>
        </w:rPr>
      </w:pPr>
      <w:r>
        <w:rPr>
          <w:rtl/>
        </w:rPr>
        <w:t xml:space="preserve">משלא עלה בידי בית המשפט לסייע לצדדים בגיבוש הסכמות אשר ייתרו את המשך ניהול ההליכים, נקבע דיון ליום 18.7.2024 לצורך שמיעת סיכומי הצדדים וניתן בזאת פסק הדין. </w:t>
      </w:r>
    </w:p>
    <w:p w:rsidR="00741573" w:rsidRDefault="00741573" w:rsidP="00741573">
      <w:pPr>
        <w:spacing w:line="360" w:lineRule="auto"/>
        <w:jc w:val="both"/>
        <w:rPr>
          <w:b/>
          <w:bCs/>
          <w:u w:val="single"/>
        </w:rPr>
      </w:pPr>
    </w:p>
    <w:p w:rsidR="00741573" w:rsidRDefault="00741573" w:rsidP="00741573">
      <w:pPr>
        <w:spacing w:line="360" w:lineRule="auto"/>
        <w:jc w:val="both"/>
        <w:rPr>
          <w:b/>
          <w:bCs/>
          <w:u w:val="single"/>
          <w:rtl/>
        </w:rPr>
      </w:pPr>
      <w:r>
        <w:rPr>
          <w:b/>
          <w:bCs/>
          <w:u w:val="single"/>
          <w:rtl/>
        </w:rPr>
        <w:t>טענות הצדדים בעיקרן</w:t>
      </w:r>
    </w:p>
    <w:p w:rsidR="00741573" w:rsidRDefault="00741573" w:rsidP="00741573">
      <w:pPr>
        <w:spacing w:line="360" w:lineRule="auto"/>
        <w:jc w:val="both"/>
        <w:rPr>
          <w:b/>
          <w:bCs/>
          <w:u w:val="single"/>
          <w:rtl/>
        </w:rPr>
      </w:pPr>
      <w:r>
        <w:rPr>
          <w:b/>
          <w:bCs/>
          <w:u w:val="single"/>
          <w:rtl/>
        </w:rPr>
        <w:t>התובעת</w:t>
      </w:r>
    </w:p>
    <w:p w:rsidR="00741573" w:rsidRDefault="00741573" w:rsidP="00741573">
      <w:pPr>
        <w:pStyle w:val="a4"/>
        <w:numPr>
          <w:ilvl w:val="0"/>
          <w:numId w:val="2"/>
        </w:numPr>
        <w:spacing w:line="360" w:lineRule="auto"/>
        <w:jc w:val="both"/>
      </w:pPr>
      <w:r>
        <w:rPr>
          <w:rtl/>
        </w:rPr>
        <w:t xml:space="preserve">ביום 25.7.2021 החליט הנתבע על דעת עצמו לחסום את חשבון הבנק המשותף ולבטל את כרטיסי האשראי. מאז היא נותרה נתונה לחסדיו, באופן בו הוא מחליט להעביר כספים לטובת הקטינה. </w:t>
      </w:r>
    </w:p>
    <w:p w:rsidR="00741573" w:rsidRDefault="00741573" w:rsidP="00664810">
      <w:pPr>
        <w:pStyle w:val="a4"/>
        <w:numPr>
          <w:ilvl w:val="0"/>
          <w:numId w:val="2"/>
        </w:numPr>
        <w:spacing w:line="360" w:lineRule="auto"/>
        <w:jc w:val="both"/>
      </w:pPr>
      <w:r>
        <w:rPr>
          <w:rtl/>
        </w:rPr>
        <w:t>המשבר בין הצדדים הוחרף על רקע ההכרח הבריאותי של התובעת לבצע הפלה בחודש</w:t>
      </w:r>
      <w:r w:rsidR="00664810">
        <w:t xml:space="preserve">x </w:t>
      </w:r>
      <w:r>
        <w:rPr>
          <w:rtl/>
        </w:rPr>
        <w:t xml:space="preserve">להיריונה, אותה נאלצה לעבור לבדה, כשהנתבע ביכר לטוס לחו"ל. </w:t>
      </w:r>
    </w:p>
    <w:p w:rsidR="00741573" w:rsidRDefault="00741573" w:rsidP="00F00B27">
      <w:pPr>
        <w:pStyle w:val="a4"/>
        <w:numPr>
          <w:ilvl w:val="0"/>
          <w:numId w:val="2"/>
        </w:numPr>
        <w:spacing w:line="360" w:lineRule="auto"/>
        <w:jc w:val="both"/>
      </w:pPr>
      <w:r>
        <w:rPr>
          <w:rtl/>
        </w:rPr>
        <w:t>האב עבד כ</w:t>
      </w:r>
      <w:r w:rsidR="00AC7738">
        <w:rPr>
          <w:rFonts w:hint="cs"/>
          <w:rtl/>
        </w:rPr>
        <w:t>-</w:t>
      </w:r>
      <w:r w:rsidR="00AC7738" w:rsidRPr="00AC7738">
        <w:t xml:space="preserve"> </w:t>
      </w:r>
      <w:r w:rsidR="00AC7738">
        <w:t>aaa</w:t>
      </w:r>
      <w:r w:rsidR="00AC7738">
        <w:rPr>
          <w:rtl/>
        </w:rPr>
        <w:t xml:space="preserve"> </w:t>
      </w:r>
      <w:r>
        <w:rPr>
          <w:rtl/>
        </w:rPr>
        <w:t xml:space="preserve">שעות רבות </w:t>
      </w:r>
      <w:r w:rsidR="00E00392">
        <w:rPr>
          <w:rtl/>
        </w:rPr>
        <w:t xml:space="preserve">והשקיע את כל מרצו </w:t>
      </w:r>
      <w:r w:rsidR="00E00392">
        <w:rPr>
          <w:rFonts w:hint="cs"/>
          <w:rtl/>
        </w:rPr>
        <w:t>ב</w:t>
      </w:r>
      <w:r w:rsidR="00E00392">
        <w:rPr>
          <w:rtl/>
        </w:rPr>
        <w:t>עסק המשפחתי</w:t>
      </w:r>
      <w:r>
        <w:rPr>
          <w:rtl/>
        </w:rPr>
        <w:t xml:space="preserve"> ואילו האם נשאה לבדה בנטל גידול הקטינה ו</w:t>
      </w:r>
      <w:r w:rsidR="00262A9C">
        <w:rPr>
          <w:rtl/>
        </w:rPr>
        <w:t>תחזוק משק הבית, במקביל למשרתה כ</w:t>
      </w:r>
      <w:r w:rsidR="00262A9C">
        <w:rPr>
          <w:rFonts w:hint="cs"/>
          <w:rtl/>
        </w:rPr>
        <w:t>-</w:t>
      </w:r>
      <w:r w:rsidR="00262A9C">
        <w:t>zzz</w:t>
      </w:r>
      <w:r>
        <w:rPr>
          <w:rtl/>
        </w:rPr>
        <w:t>. שכרה הממוצע של האם עמד על סך של 8,000 ₪ נטו</w:t>
      </w:r>
      <w:r w:rsidR="00F00B27">
        <w:rPr>
          <w:rtl/>
        </w:rPr>
        <w:t xml:space="preserve"> בחודש. התובעת קיבלה הודעה שבשנ</w:t>
      </w:r>
      <w:r w:rsidR="00F00B27">
        <w:rPr>
          <w:rFonts w:hint="cs"/>
          <w:rtl/>
        </w:rPr>
        <w:t>ה</w:t>
      </w:r>
      <w:r>
        <w:rPr>
          <w:rtl/>
        </w:rPr>
        <w:t xml:space="preserve"> הקרובה, שכרה צפוי להיות מופחת, עקב הורדת אחוז המשרה מ-120% ל-80%. </w:t>
      </w:r>
    </w:p>
    <w:p w:rsidR="00741573" w:rsidRDefault="00741573" w:rsidP="00741573">
      <w:pPr>
        <w:pStyle w:val="a4"/>
        <w:numPr>
          <w:ilvl w:val="0"/>
          <w:numId w:val="2"/>
        </w:numPr>
        <w:spacing w:line="360" w:lineRule="auto"/>
        <w:jc w:val="both"/>
      </w:pPr>
      <w:r>
        <w:rPr>
          <w:rtl/>
        </w:rPr>
        <w:t xml:space="preserve">הוצאות הקטינה: כלכלה 1,400 ₪, ביגוד והנעלה 350 ₪, תרבות ופנאי 350 ₪, הוצאות נסיעה 250 ₪, מטפלת 200 ₪ ובסה"כ 2,555 ₪ לחודש. </w:t>
      </w:r>
    </w:p>
    <w:p w:rsidR="00741573" w:rsidRDefault="00741573" w:rsidP="00741573">
      <w:pPr>
        <w:pStyle w:val="a4"/>
        <w:numPr>
          <w:ilvl w:val="0"/>
          <w:numId w:val="2"/>
        </w:numPr>
        <w:spacing w:line="360" w:lineRule="auto"/>
        <w:jc w:val="both"/>
      </w:pPr>
      <w:r>
        <w:rPr>
          <w:rtl/>
        </w:rPr>
        <w:t xml:space="preserve">בהינתן פערי ההשתכרות בין הצדדים, יש להורות על פסיקת מזונות ברף הגבוה ביותר בסך של 2,555 ₪ לחודש וכן בחיוב האב בתשלום 30% מהוצאות המדור של הקטינה  כמו גם להורות על נשיאת ההורים במשותף בעלות הוצאות החינוך והרפואה. </w:t>
      </w:r>
    </w:p>
    <w:p w:rsidR="00741573" w:rsidRDefault="00741573" w:rsidP="00741573">
      <w:pPr>
        <w:pStyle w:val="a4"/>
        <w:numPr>
          <w:ilvl w:val="0"/>
          <w:numId w:val="2"/>
        </w:numPr>
        <w:spacing w:line="360" w:lineRule="auto"/>
        <w:jc w:val="both"/>
      </w:pPr>
      <w:r>
        <w:rPr>
          <w:u w:val="single"/>
          <w:rtl/>
        </w:rPr>
        <w:t>בתצהירה</w:t>
      </w:r>
      <w:r>
        <w:rPr>
          <w:rtl/>
        </w:rPr>
        <w:t xml:space="preserve"> הוסיפה, כי האב השתכר כ-14,000 ₪ נטו מעבודתו בעסק המשפחתי וכן קיבל רכב עם דלקן, הטבה ששוויה 5,000 ₪ בחודש, כך שיש להעמיד את שכרו על סך של 20,000 ₪ נטו בחודש. לאחר פרוץ המשבר הזוגי, הפחית את שכרו החודשי לסך של 10,000 ₪ בחודש. בנובמבר 2020 70% מהזכויות בעסק המשפחתי נמכרו בעבור 60 מיליון ש"ח לגורם שלישי ומשפחתו של הנתבע נותרה על 30% מהזכויות בלבד. הנתבע עדכן כי בעקבות מכירת העסק, שכרו יופחת משמעותית. אולם, הגם שכיום אינו עובד עוד בעסק המשפחתי, ממשיך להחזיק ברכב שהיה לו עוד קודם. </w:t>
      </w:r>
    </w:p>
    <w:p w:rsidR="00741573" w:rsidRDefault="00741573" w:rsidP="00741573">
      <w:pPr>
        <w:pStyle w:val="a4"/>
        <w:numPr>
          <w:ilvl w:val="0"/>
          <w:numId w:val="2"/>
        </w:numPr>
        <w:spacing w:line="360" w:lineRule="auto"/>
        <w:jc w:val="both"/>
      </w:pPr>
      <w:r>
        <w:rPr>
          <w:rtl/>
        </w:rPr>
        <w:t xml:space="preserve">לאחר הפירוד, הוריה פעלו לרכישת דירה בעבורה, תוך לקיחת משכנתא ומשכון ביתם, מאחר והיא טרם שוחררה מן המשכנתא שהייתה על הדירה. היא נאלצה ליטול הלוואה בסך של 110,000 ₪, אחותה נטלה הלוואה בסך של 114,000 ₪ והוריה נטלו הלוואת משכנתא בסך של 580,000 ₪ והלוואה נוספת בסך של 300,000 ₪. החזרי ההלוואות הינן כ-16,000 ₪ בחודש. </w:t>
      </w:r>
    </w:p>
    <w:p w:rsidR="00741573" w:rsidRDefault="00741573" w:rsidP="00741573">
      <w:pPr>
        <w:pStyle w:val="a4"/>
        <w:numPr>
          <w:ilvl w:val="0"/>
          <w:numId w:val="2"/>
        </w:numPr>
        <w:spacing w:line="360" w:lineRule="auto"/>
        <w:jc w:val="both"/>
      </w:pPr>
      <w:r>
        <w:rPr>
          <w:rtl/>
        </w:rPr>
        <w:t xml:space="preserve">הוצאות אחזקת המדור: ארנונה 641 ₪, ועד בית 385 ₪, חשמל 130 ₪, גז 100 ₪, טלוויזיה 194 ₪, מים 50 ₪ ובסה"כ כ-1,500 ₪ בחודש. </w:t>
      </w:r>
    </w:p>
    <w:p w:rsidR="00741573" w:rsidRDefault="00741573" w:rsidP="00741573">
      <w:pPr>
        <w:pStyle w:val="a4"/>
        <w:numPr>
          <w:ilvl w:val="0"/>
          <w:numId w:val="2"/>
        </w:numPr>
        <w:spacing w:line="360" w:lineRule="auto"/>
        <w:jc w:val="both"/>
      </w:pPr>
      <w:r>
        <w:rPr>
          <w:rtl/>
        </w:rPr>
        <w:lastRenderedPageBreak/>
        <w:t xml:space="preserve">יש להורות, כי הנתבע ישלם 2,555 ₪ עבור מזונות הקטינה וכן 30% מעלות הוצאות אחזקת המדור 500 ₪ בחודש וכן ישא ב-75% מהוצאות החינוך והרפואה של הקטינה. </w:t>
      </w:r>
    </w:p>
    <w:p w:rsidR="00741573" w:rsidRDefault="00741573" w:rsidP="00741573">
      <w:pPr>
        <w:pStyle w:val="a4"/>
        <w:numPr>
          <w:ilvl w:val="0"/>
          <w:numId w:val="2"/>
        </w:numPr>
        <w:spacing w:line="360" w:lineRule="auto"/>
        <w:jc w:val="both"/>
      </w:pPr>
      <w:r>
        <w:rPr>
          <w:u w:val="single"/>
          <w:rtl/>
        </w:rPr>
        <w:t>בסיכומיה</w:t>
      </w:r>
      <w:r>
        <w:rPr>
          <w:rtl/>
        </w:rPr>
        <w:t xml:space="preserve"> ציינה, כי בחקירת הנתבע התגלה כי קיבל כספים במתנה מהוריו לצורך רכישת חלקה בדירה, וכן כי הוא לא נטל עוד משכנתא, מאחר ולא אושר לו. עוד נטען על ידה לראשונה כי הדירה שנרכשה על ידי הוריה של התובעת עלתה 2,870,000 ₪ ולאחר שקיבלה 900,000 ₪ בעבור חלקה בדירה, היא נותרה עם משכנתא גבוהה, בסך של כ6,500 ₪ בחודש, כך שהכנסתה הפנויה הינה 500 ₪ בלבד, בתוספת המזונות שמקבלת 1,500 ₪ עבור הקטינה והיא חיה בצמצום רב (ר' בעמ' 59 לפרוט' הדיון מיום 18.7.2024). </w:t>
      </w:r>
    </w:p>
    <w:p w:rsidR="00741573" w:rsidRDefault="00741573" w:rsidP="00741573">
      <w:pPr>
        <w:pStyle w:val="a4"/>
        <w:numPr>
          <w:ilvl w:val="0"/>
          <w:numId w:val="2"/>
        </w:numPr>
        <w:spacing w:line="360" w:lineRule="auto"/>
        <w:jc w:val="both"/>
      </w:pPr>
      <w:r>
        <w:rPr>
          <w:rtl/>
        </w:rPr>
        <w:t xml:space="preserve">עוד הוסיפה וטענה, כי בהתאם לפסיקה יש למנוע מצב של בית עני, בית עשיר, ומאחר והאם היא שנושאת בעיקר הוצאות הקטינה, ביגוד וכו', יש להבטיח באמצעות הבע"מ את היכולת לממן את הוצאותיה. על הצד הנמוך ביותר, יש לפסוק את מזונות הקטינה על סך של 1,500 ₪ לחודש (שם, בעמ' 59).  הנתבע הינו הצד החזק, וכראיה לך ההודאה שלו בדבר תשלום שכ"ט לעו"ד בסך של 250,000 ₪ (ר' בעמ' 65, ש' 12-15 לפרוט'). </w:t>
      </w:r>
    </w:p>
    <w:p w:rsidR="00741573" w:rsidRDefault="00741573" w:rsidP="00741573">
      <w:pPr>
        <w:spacing w:line="360" w:lineRule="auto"/>
        <w:jc w:val="both"/>
        <w:rPr>
          <w:rtl/>
        </w:rPr>
      </w:pPr>
    </w:p>
    <w:p w:rsidR="00741573" w:rsidRDefault="00741573" w:rsidP="00741573">
      <w:pPr>
        <w:spacing w:line="360" w:lineRule="auto"/>
        <w:jc w:val="both"/>
        <w:rPr>
          <w:b/>
          <w:bCs/>
          <w:u w:val="single"/>
          <w:rtl/>
        </w:rPr>
      </w:pPr>
      <w:r>
        <w:rPr>
          <w:b/>
          <w:bCs/>
          <w:u w:val="single"/>
          <w:rtl/>
        </w:rPr>
        <w:t xml:space="preserve">הנתבע </w:t>
      </w:r>
    </w:p>
    <w:p w:rsidR="00741573" w:rsidRDefault="00741573" w:rsidP="00741573">
      <w:pPr>
        <w:pStyle w:val="a4"/>
        <w:numPr>
          <w:ilvl w:val="0"/>
          <w:numId w:val="3"/>
        </w:numPr>
        <w:spacing w:line="360" w:lineRule="auto"/>
        <w:jc w:val="both"/>
        <w:rPr>
          <w:rtl/>
        </w:rPr>
      </w:pPr>
      <w:r>
        <w:rPr>
          <w:rtl/>
        </w:rPr>
        <w:t xml:space="preserve">הצדדים משתכרים באופן דומה ואילו לתובעת הטבות ממקום עבודתה העולות על שלו. התובעת עותרת לחיוב הנתבע ברכיבים הנוגעים למזונות הקטינה, ואינה מצרפת דבר כתימוכין לגובה החיובים הנטענים. </w:t>
      </w:r>
    </w:p>
    <w:p w:rsidR="00741573" w:rsidRDefault="00741573" w:rsidP="00741573">
      <w:pPr>
        <w:pStyle w:val="a4"/>
        <w:numPr>
          <w:ilvl w:val="0"/>
          <w:numId w:val="3"/>
        </w:numPr>
        <w:spacing w:line="360" w:lineRule="auto"/>
        <w:jc w:val="both"/>
      </w:pPr>
      <w:r>
        <w:rPr>
          <w:rtl/>
        </w:rPr>
        <w:t>נוכח התנהלותה הבלתי צפויה של התובעת, משך הנתבע 55,000 ₪ מהחשבון המשותף וכן הורה על הגבלתו בחיוב חתימת שני הצדדים. לאחר מכן חידשו הצדדים את הוראות הקבע שהיו בחשבון, על מנת שלא יווצר מצב שלא יכובדו. הנתבע אינו מכחיש כי במסגרת איזון המשאבים יש להעניק לתובעת את הסכום שמשך מהחשבון המשותף.</w:t>
      </w:r>
    </w:p>
    <w:p w:rsidR="00741573" w:rsidRDefault="00741573" w:rsidP="00741573">
      <w:pPr>
        <w:pStyle w:val="a4"/>
        <w:numPr>
          <w:ilvl w:val="0"/>
          <w:numId w:val="3"/>
        </w:numPr>
        <w:spacing w:line="360" w:lineRule="auto"/>
        <w:jc w:val="both"/>
      </w:pPr>
      <w:r>
        <w:rPr>
          <w:rtl/>
        </w:rPr>
        <w:t xml:space="preserve">לתובעת יכולת השתכרות גבוהה יותר מ-10,000 ₪ נטו בחודש, כאשר ביכולתה לערוך אימוני כושר פרטיים, אירועים לילדים, וכו'. במהלך הנישואין הייתה זו התובעת שיצאה ללימודי תואר שני ואילו הנתבע גיבה אותה וסייע לה. הנתבע היה שותף מלא ופעיל בנטל אחזקת הבית וגידול הקטינה. התובעת היא שסירבה להתגורר בסמוך למשפחתו של הנתבע ולמקום עבודתו, כך שנאלץ לבזבז זמן רב בנסיעות. </w:t>
      </w:r>
    </w:p>
    <w:p w:rsidR="00741573" w:rsidRDefault="00741573" w:rsidP="00741573">
      <w:pPr>
        <w:pStyle w:val="a4"/>
        <w:numPr>
          <w:ilvl w:val="0"/>
          <w:numId w:val="3"/>
        </w:numPr>
        <w:spacing w:line="360" w:lineRule="auto"/>
        <w:jc w:val="both"/>
      </w:pPr>
      <w:r>
        <w:rPr>
          <w:rtl/>
        </w:rPr>
        <w:t xml:space="preserve">הצרכים להם טוענת התובעת עבור הקטינה מופרכים ומוגזמים ואינם עולים בקנה אחד עם ההוצאות בפועל. יש להורות כי כל צד יישא בהוצאות הקטינה בעת שהותה אצלו בהתאם ליחס זמני השהות וכן כי הצדדים ישאו במשותף בהוצאות החינוך והרפואה. </w:t>
      </w:r>
    </w:p>
    <w:p w:rsidR="00741573" w:rsidRDefault="00741573" w:rsidP="00741573">
      <w:pPr>
        <w:pStyle w:val="a4"/>
        <w:numPr>
          <w:ilvl w:val="0"/>
          <w:numId w:val="3"/>
        </w:numPr>
        <w:spacing w:line="360" w:lineRule="auto"/>
        <w:jc w:val="both"/>
      </w:pPr>
      <w:r>
        <w:rPr>
          <w:u w:val="single"/>
          <w:rtl/>
        </w:rPr>
        <w:t>בתצהירו</w:t>
      </w:r>
      <w:r>
        <w:rPr>
          <w:rtl/>
        </w:rPr>
        <w:t xml:space="preserve"> הוסיף כי התובעת עשתה שימוש לרעה בהליכים המשפטיים והכל במטרה לגרום לו נזק, על אף עשרות הבקשות שהגישה במטרה להתישו, התובעת הסכימה לחזור בה ממרבית דרישותיה הלא היגיוניות, לרבות חלוקה לא שיוויונית. </w:t>
      </w:r>
    </w:p>
    <w:p w:rsidR="00741573" w:rsidRDefault="00741573" w:rsidP="0035530B">
      <w:pPr>
        <w:pStyle w:val="a4"/>
        <w:numPr>
          <w:ilvl w:val="0"/>
          <w:numId w:val="3"/>
        </w:numPr>
        <w:spacing w:line="360" w:lineRule="auto"/>
        <w:jc w:val="both"/>
      </w:pPr>
      <w:r>
        <w:rPr>
          <w:rtl/>
        </w:rPr>
        <w:t xml:space="preserve">בהיותו </w:t>
      </w:r>
      <w:r w:rsidR="0035530B">
        <w:t>aaa</w:t>
      </w:r>
      <w:r w:rsidR="0035530B">
        <w:rPr>
          <w:rtl/>
        </w:rPr>
        <w:t xml:space="preserve"> </w:t>
      </w:r>
      <w:r w:rsidR="0035530B">
        <w:rPr>
          <w:rFonts w:hint="cs"/>
          <w:rtl/>
        </w:rPr>
        <w:t xml:space="preserve">בהכשרתו </w:t>
      </w:r>
      <w:r>
        <w:rPr>
          <w:rtl/>
        </w:rPr>
        <w:t xml:space="preserve">ישר ושומר חוק, מודע לחשיבות הדיווח הכלכלי בניגוד לתאוריות השקריות שמפיצה עליו התובעת. משתכר כיום 9,000 ₪ ולו הוצאות חודשיות רבות- משכנתא 6,000 ₪, מזונות לקטינה 1,575 ₪, הוצאות גן וצהרון 700 ₪, הוצאות אחזקת מדור כ-1,700 ₪ בחודש. בכל חודש מצוי בגירעון כלכלי מתמשך, לשם מימון יתר הוצאותיו האישיות וכן הוצאות הקטינה בעת שהותה אצלו, נעזר בהוריו. </w:t>
      </w:r>
    </w:p>
    <w:p w:rsidR="00741573" w:rsidRDefault="00741573" w:rsidP="00741573">
      <w:pPr>
        <w:pStyle w:val="a4"/>
        <w:numPr>
          <w:ilvl w:val="0"/>
          <w:numId w:val="3"/>
        </w:numPr>
        <w:spacing w:line="360" w:lineRule="auto"/>
        <w:jc w:val="both"/>
      </w:pPr>
      <w:r>
        <w:rPr>
          <w:rtl/>
        </w:rPr>
        <w:lastRenderedPageBreak/>
        <w:t xml:space="preserve">בשל הצורך בשהות עם הקטינה וריחוקו ממשפחת המוצא, אינו יכול להשתלב במשרה רווחית יותר בה יגדל שכרו. הנתבע אינו נוהג ברכב מנהלים של החברה, כי אם ברכב ששוויו עומד על 20,000 ₪ בלבד השייך לאביו. </w:t>
      </w:r>
    </w:p>
    <w:p w:rsidR="00741573" w:rsidRDefault="00741573" w:rsidP="00741573">
      <w:pPr>
        <w:pStyle w:val="a4"/>
        <w:numPr>
          <w:ilvl w:val="0"/>
          <w:numId w:val="3"/>
        </w:numPr>
        <w:spacing w:line="360" w:lineRule="auto"/>
        <w:jc w:val="both"/>
      </w:pPr>
      <w:r>
        <w:rPr>
          <w:rtl/>
        </w:rPr>
        <w:t xml:space="preserve">התובעת היא שסיכלה את קידום פירוק השיתוף בדירה, עת סירבה לחתום על הסכם המכר ואף עיכבה את עבודתו של האקטואר. בהתנהלותה גרמה התובעת לנזקים כלכליים עצומים בשל הליך הכינוס שנאלצו הצדדים לעבור. התובעת הודתה כי נרכשה עבורה דירת 4 חדרים חדשה, באמצעות הלוואות שנטלו הוריה וללא משכנתא, בניגוד אליו אשר נטל משכנתא גדולה יותר לצורך מימון חלקה של התובעת. </w:t>
      </w:r>
    </w:p>
    <w:p w:rsidR="00741573" w:rsidRDefault="00741573" w:rsidP="00741573">
      <w:pPr>
        <w:pStyle w:val="a4"/>
        <w:numPr>
          <w:ilvl w:val="0"/>
          <w:numId w:val="3"/>
        </w:numPr>
        <w:spacing w:line="360" w:lineRule="auto"/>
        <w:jc w:val="both"/>
      </w:pPr>
      <w:r>
        <w:rPr>
          <w:rtl/>
        </w:rPr>
        <w:t>דרישתה התובעת לקבלת מזונות מוגזמים מופרכת וחסרת תום לב ויש להורות על דחייתה.</w:t>
      </w:r>
    </w:p>
    <w:p w:rsidR="00741573" w:rsidRDefault="00741573" w:rsidP="00741573">
      <w:pPr>
        <w:pStyle w:val="a4"/>
        <w:numPr>
          <w:ilvl w:val="0"/>
          <w:numId w:val="3"/>
        </w:numPr>
        <w:spacing w:line="360" w:lineRule="auto"/>
        <w:jc w:val="both"/>
      </w:pPr>
      <w:r>
        <w:rPr>
          <w:u w:val="single"/>
          <w:rtl/>
        </w:rPr>
        <w:t>בסיכומיו</w:t>
      </w:r>
      <w:r>
        <w:rPr>
          <w:rtl/>
        </w:rPr>
        <w:t xml:space="preserve"> טען כי התובעת לא הוכיחה את תביעתה, לא תמכה טענותיה באסמכתאות ומכאן כי יש לדחותה. התובעת הודתה בחקירתה, כי היא מסרבת לרכוש ביגוד לקטינה שיימסר בעת שהותה אצל הנתבע, לכן הנתבע נאלץ לשאת בכל הוצאות הקטינה, ביגוד והנעלה בעת שהותה אצלו (ר' בעמ' 60 לפרוט' מיום 18.7.2024). </w:t>
      </w:r>
    </w:p>
    <w:p w:rsidR="00741573" w:rsidRDefault="00741573" w:rsidP="00741573">
      <w:pPr>
        <w:pStyle w:val="a4"/>
        <w:numPr>
          <w:ilvl w:val="0"/>
          <w:numId w:val="3"/>
        </w:numPr>
        <w:spacing w:line="360" w:lineRule="auto"/>
        <w:jc w:val="both"/>
      </w:pPr>
      <w:r>
        <w:rPr>
          <w:rtl/>
        </w:rPr>
        <w:t>הנתבע משתכר 10,000 ₪ במשרה של 80%, כאשר אין ביכולתו להגדיל את המשרה וכן לקיים משמורת משותפת. נושא במשכנתא בסך של 6,000 ₪ בחודש, כפי שהייתה לצדדים קודם הפירוד, ואין זה משנה כי אמו חתמה כערבה על המשכנתא (ר' בעמ' 61). אף לא ברורה טענת התובעת העובדת שש שעות ביום, חמש פעמים בשבוע, כי אינה יכולה להגדיל את משרתה בשל סידורים אחרים שיש לה ואילו ממנו, העובד 8.5 שעות ביום, חמישה ימים בשבוע, מצופה להגדיל את היקף המשרה (בעמ' 62, ש' 22-27). אילו התובעת הייתה עובדת 100% משרה, הייתה משתכרת כ-11,000</w:t>
      </w:r>
      <w:r w:rsidR="00C07D83">
        <w:rPr>
          <w:rFonts w:hint="cs"/>
          <w:rtl/>
        </w:rPr>
        <w:t xml:space="preserve"> </w:t>
      </w:r>
      <w:r>
        <w:rPr>
          <w:rtl/>
        </w:rPr>
        <w:t xml:space="preserve">ש"ח נטו בחודש (שם, בעמ' 63, ש' 21-22). </w:t>
      </w:r>
    </w:p>
    <w:p w:rsidR="00741573" w:rsidRDefault="00741573" w:rsidP="00741573">
      <w:pPr>
        <w:pStyle w:val="a4"/>
        <w:numPr>
          <w:ilvl w:val="0"/>
          <w:numId w:val="3"/>
        </w:numPr>
        <w:spacing w:line="360" w:lineRule="auto"/>
        <w:jc w:val="both"/>
      </w:pPr>
      <w:r>
        <w:rPr>
          <w:rtl/>
        </w:rPr>
        <w:t xml:space="preserve">התובעת לא הוכיחה כי יש לה הוצאות מדור, לטענתה נושאת בהלוואות לבני משפחתה, חלף משכנתא, אולם הדבר לא הוכח (ר' בעמ' 63). מכאן כי לתובעת הכנסה פנויה גבוהה יותר משל הנתבע הנושא במשכנתא בסך של 6,000 ₪ בחודש (ר' בעמ' 64). בשל הפער המהותי בין הצדדים ראוי שלא לפסוק מזונות כלל לאחר גיל 6; לחלופין בהתאם לנוסחה המתמטית יש לקבוע כי המזונות יהיו בין 400-600 ₪ בחודש בלבד, כאשר יחס הנשיאה בהוצאות חריגות בין ההורים יהיה 30% לאב- 70% לאם. לאור התנהלותה חסרת תום הלב של האם, יש להורות על חיובה בהוצאות משמעותיות.  </w:t>
      </w:r>
    </w:p>
    <w:p w:rsidR="00741573" w:rsidRDefault="00741573" w:rsidP="00741573">
      <w:pPr>
        <w:spacing w:line="360" w:lineRule="auto"/>
        <w:jc w:val="both"/>
      </w:pPr>
    </w:p>
    <w:p w:rsidR="00741573" w:rsidRDefault="00741573" w:rsidP="00741573">
      <w:pPr>
        <w:spacing w:line="360" w:lineRule="auto"/>
        <w:jc w:val="both"/>
        <w:rPr>
          <w:b/>
          <w:bCs/>
          <w:u w:val="single"/>
          <w:rtl/>
        </w:rPr>
      </w:pPr>
      <w:r>
        <w:rPr>
          <w:b/>
          <w:bCs/>
          <w:u w:val="single"/>
          <w:rtl/>
        </w:rPr>
        <w:t xml:space="preserve">דיון והכרעה </w:t>
      </w:r>
    </w:p>
    <w:p w:rsidR="00741573" w:rsidRDefault="00741573" w:rsidP="00741573">
      <w:pPr>
        <w:spacing w:line="360" w:lineRule="auto"/>
        <w:jc w:val="both"/>
        <w:rPr>
          <w:b/>
          <w:bCs/>
          <w:u w:val="single"/>
          <w:rtl/>
        </w:rPr>
      </w:pPr>
      <w:r>
        <w:rPr>
          <w:b/>
          <w:bCs/>
          <w:u w:val="single"/>
          <w:rtl/>
        </w:rPr>
        <w:t>מסגרת נורמטיבית</w:t>
      </w:r>
    </w:p>
    <w:p w:rsidR="00741573" w:rsidRDefault="00741573" w:rsidP="00741573">
      <w:pPr>
        <w:pStyle w:val="a4"/>
        <w:numPr>
          <w:ilvl w:val="0"/>
          <w:numId w:val="1"/>
        </w:numPr>
        <w:spacing w:line="360" w:lineRule="auto"/>
        <w:jc w:val="both"/>
        <w:rPr>
          <w:b/>
          <w:bCs/>
          <w:u w:val="single"/>
          <w:rtl/>
        </w:rPr>
      </w:pPr>
      <w:r>
        <w:rPr>
          <w:rFonts w:ascii="David" w:eastAsiaTheme="minorHAnsi" w:hAnsi="David"/>
          <w:noProof w:val="0"/>
          <w:rtl/>
        </w:rPr>
        <w:t xml:space="preserve">הצדדים שלפניי יהודים; נכון למועד ההכרעה מלאו לקטינה 6 שנים; משכך, חלה ביחס אליה הלכת בע"מ 919/15, אשר שינתה סדרי הלכות נוהגות בסוגיית חלוקת נטל מזונות קטינים בגילאי 6-15 וקבעה, בין היתר, כי: </w:t>
      </w:r>
      <w:r>
        <w:rPr>
          <w:rFonts w:ascii="David" w:eastAsiaTheme="minorHAnsi" w:hAnsi="David"/>
          <w:b/>
          <w:bCs/>
          <w:noProof w:val="0"/>
          <w:rtl/>
        </w:rPr>
        <w:t>"בגילאי 15-6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w:t>
      </w:r>
      <w:r>
        <w:rPr>
          <w:rFonts w:ascii="David" w:eastAsiaTheme="minorHAnsi" w:hAnsi="David"/>
          <w:noProof w:val="0"/>
          <w:rtl/>
        </w:rPr>
        <w:t xml:space="preserve"> (</w:t>
      </w:r>
      <w:r>
        <w:rPr>
          <w:rFonts w:ascii="David" w:eastAsia="Calibri" w:hAnsi="David"/>
          <w:noProof w:val="0"/>
          <w:rtl/>
        </w:rPr>
        <w:t xml:space="preserve">בע"מ 919/15 </w:t>
      </w:r>
      <w:r>
        <w:rPr>
          <w:rFonts w:ascii="David" w:eastAsia="Calibri" w:hAnsi="David"/>
          <w:b/>
          <w:bCs/>
          <w:noProof w:val="0"/>
          <w:rtl/>
        </w:rPr>
        <w:t>פלוני נ' פלונית</w:t>
      </w:r>
      <w:r>
        <w:rPr>
          <w:rFonts w:ascii="David" w:eastAsia="Calibri" w:hAnsi="David"/>
          <w:noProof w:val="0"/>
          <w:rtl/>
        </w:rPr>
        <w:t xml:space="preserve"> (פורסם במאגרים המשפטיים, 19.7.17)</w:t>
      </w:r>
      <w:r>
        <w:rPr>
          <w:rFonts w:ascii="David" w:eastAsiaTheme="minorHAnsi" w:hAnsi="David"/>
          <w:noProof w:val="0"/>
          <w:rtl/>
        </w:rPr>
        <w:t>, פסקה ראשונה בחלקו האחרון של פסה"ד בעמ' 125).</w:t>
      </w:r>
    </w:p>
    <w:p w:rsidR="00741573" w:rsidRDefault="00741573" w:rsidP="00741573">
      <w:pPr>
        <w:pStyle w:val="a4"/>
        <w:spacing w:line="360" w:lineRule="auto"/>
        <w:ind w:left="360"/>
        <w:jc w:val="both"/>
        <w:rPr>
          <w:b/>
          <w:bCs/>
          <w:u w:val="single"/>
        </w:rPr>
      </w:pPr>
    </w:p>
    <w:p w:rsidR="00741573" w:rsidRDefault="00741573" w:rsidP="00741573">
      <w:pPr>
        <w:pStyle w:val="a4"/>
        <w:numPr>
          <w:ilvl w:val="0"/>
          <w:numId w:val="1"/>
        </w:numPr>
        <w:spacing w:line="360" w:lineRule="auto"/>
        <w:jc w:val="both"/>
        <w:rPr>
          <w:b/>
          <w:bCs/>
          <w:u w:val="single"/>
        </w:rPr>
      </w:pPr>
      <w:r>
        <w:rPr>
          <w:rFonts w:ascii="David" w:eastAsiaTheme="minorHAnsi" w:hAnsi="David"/>
          <w:noProof w:val="0"/>
          <w:rtl/>
        </w:rPr>
        <w:lastRenderedPageBreak/>
        <w:t xml:space="preserve">עוד נקבע </w:t>
      </w:r>
      <w:proofErr w:type="spellStart"/>
      <w:r>
        <w:rPr>
          <w:rFonts w:ascii="David" w:eastAsiaTheme="minorHAnsi" w:hAnsi="David"/>
          <w:noProof w:val="0"/>
          <w:rtl/>
        </w:rPr>
        <w:t>בבע"מ</w:t>
      </w:r>
      <w:proofErr w:type="spellEnd"/>
      <w:r>
        <w:rPr>
          <w:rFonts w:ascii="David" w:eastAsiaTheme="minorHAnsi" w:hAnsi="David"/>
          <w:noProof w:val="0"/>
          <w:rtl/>
        </w:rPr>
        <w:t xml:space="preserve"> 919/15, כי לצורך קביעת שיעור השתתפותו של כל הורה במזונות הקטינים, על הערכאה הדיונית להתחשב ב</w:t>
      </w:r>
      <w:r>
        <w:rPr>
          <w:rFonts w:ascii="David" w:eastAsiaTheme="minorHAnsi" w:hAnsi="David"/>
          <w:b/>
          <w:bCs/>
          <w:i/>
          <w:iCs/>
          <w:noProof w:val="0"/>
          <w:rtl/>
        </w:rPr>
        <w:t>מכלול הנסיבתי של כל מקרה ומקרה, זאת בהבדל מהיצמדות יתרה לתחשיב אריתמטי</w:t>
      </w:r>
      <w:r>
        <w:rPr>
          <w:rFonts w:ascii="David" w:eastAsiaTheme="minorHAnsi" w:hAnsi="David"/>
          <w:noProof w:val="0"/>
          <w:rtl/>
        </w:rPr>
        <w:t xml:space="preserve">. </w:t>
      </w:r>
    </w:p>
    <w:p w:rsidR="00741573" w:rsidRDefault="00741573" w:rsidP="00741573">
      <w:pPr>
        <w:pStyle w:val="a4"/>
        <w:rPr>
          <w:rFonts w:ascii="David" w:eastAsiaTheme="minorHAnsi" w:hAnsi="David"/>
          <w:noProof w:val="0"/>
        </w:rPr>
      </w:pPr>
    </w:p>
    <w:p w:rsidR="00741573" w:rsidRDefault="00741573" w:rsidP="00741573">
      <w:pPr>
        <w:pStyle w:val="a4"/>
        <w:numPr>
          <w:ilvl w:val="0"/>
          <w:numId w:val="1"/>
        </w:numPr>
        <w:spacing w:line="360" w:lineRule="auto"/>
        <w:jc w:val="both"/>
        <w:rPr>
          <w:b/>
          <w:bCs/>
          <w:u w:val="single"/>
          <w:rtl/>
        </w:rPr>
      </w:pPr>
      <w:r>
        <w:rPr>
          <w:rFonts w:ascii="David" w:eastAsiaTheme="minorHAnsi" w:hAnsi="David"/>
          <w:noProof w:val="0"/>
          <w:rtl/>
        </w:rPr>
        <w:t xml:space="preserve">יש בקביעה זו ללמד, כי הלכה זו לא יצרה פטור אוטומטי מתשלום מזונות גם במקרה של חלוקת זמני שהות שווה בין הורים; ויש לבחון כל מקרה לגופו. קבע בעניין זה כב' השופט </w:t>
      </w:r>
      <w:proofErr w:type="spellStart"/>
      <w:r>
        <w:rPr>
          <w:rFonts w:ascii="David" w:eastAsiaTheme="minorHAnsi" w:hAnsi="David"/>
          <w:noProof w:val="0"/>
          <w:rtl/>
        </w:rPr>
        <w:t>פוגלמן</w:t>
      </w:r>
      <w:proofErr w:type="spellEnd"/>
      <w:r>
        <w:rPr>
          <w:rFonts w:ascii="David" w:eastAsiaTheme="minorHAnsi" w:hAnsi="David"/>
          <w:noProof w:val="0"/>
          <w:rtl/>
        </w:rPr>
        <w:t xml:space="preserve">: </w:t>
      </w:r>
      <w:r>
        <w:rPr>
          <w:rFonts w:ascii="David" w:eastAsiaTheme="minorHAnsi" w:hAnsi="David"/>
          <w:b/>
          <w:bCs/>
          <w:noProof w:val="0"/>
          <w:spacing w:val="12"/>
          <w:rtl/>
        </w:rPr>
        <w:t xml:space="preserve">"וגם זאת יש לומר. </w:t>
      </w:r>
      <w:r>
        <w:rPr>
          <w:rFonts w:ascii="David" w:eastAsiaTheme="minorHAnsi" w:hAnsi="David"/>
          <w:b/>
          <w:bCs/>
          <w:noProof w:val="0"/>
          <w:spacing w:val="12"/>
          <w:u w:val="single"/>
          <w:rtl/>
        </w:rPr>
        <w:t>אין מדובר בקביעת נוסחאות אריתמטיות נוקשות הקושרות בין הכנסות ההורים והיקף המשמורת הפיזית המסורה לכל אחד מהם לבין שיעור המזונות</w:t>
      </w:r>
      <w:r>
        <w:rPr>
          <w:rFonts w:ascii="David" w:eastAsiaTheme="minorHAnsi" w:hAnsi="David"/>
          <w:b/>
          <w:bCs/>
          <w:noProof w:val="0"/>
          <w:spacing w:val="12"/>
          <w:rtl/>
        </w:rPr>
        <w:t>.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 הילד ורווחתו בבתי שני ההורים"</w:t>
      </w:r>
      <w:r>
        <w:rPr>
          <w:rFonts w:ascii="David" w:eastAsiaTheme="minorHAnsi" w:hAnsi="David"/>
          <w:noProof w:val="0"/>
          <w:spacing w:val="12"/>
          <w:rtl/>
        </w:rPr>
        <w:t xml:space="preserve"> (שם, בסעיף 126 לפסה"ד של כב' השופט </w:t>
      </w:r>
      <w:proofErr w:type="spellStart"/>
      <w:r>
        <w:rPr>
          <w:rFonts w:ascii="David" w:eastAsiaTheme="minorHAnsi" w:hAnsi="David"/>
          <w:noProof w:val="0"/>
          <w:spacing w:val="12"/>
          <w:rtl/>
        </w:rPr>
        <w:t>פוגלמן</w:t>
      </w:r>
      <w:proofErr w:type="spellEnd"/>
      <w:r>
        <w:rPr>
          <w:rFonts w:ascii="David" w:eastAsiaTheme="minorHAnsi" w:hAnsi="David"/>
          <w:noProof w:val="0"/>
          <w:spacing w:val="12"/>
          <w:rtl/>
        </w:rPr>
        <w:t>, עמ' 74, הדגשה לא במקור).</w:t>
      </w:r>
    </w:p>
    <w:p w:rsidR="00741573" w:rsidRDefault="00741573" w:rsidP="00741573">
      <w:pPr>
        <w:pStyle w:val="a4"/>
        <w:rPr>
          <w:rFonts w:ascii="David" w:eastAsiaTheme="minorHAnsi" w:hAnsi="David"/>
          <w:noProof w:val="0"/>
        </w:rPr>
      </w:pPr>
    </w:p>
    <w:p w:rsidR="00741573" w:rsidRDefault="00741573" w:rsidP="00741573">
      <w:pPr>
        <w:pStyle w:val="a4"/>
        <w:numPr>
          <w:ilvl w:val="0"/>
          <w:numId w:val="1"/>
        </w:numPr>
        <w:spacing w:line="360" w:lineRule="auto"/>
        <w:jc w:val="both"/>
        <w:rPr>
          <w:b/>
          <w:bCs/>
          <w:u w:val="single"/>
          <w:rtl/>
        </w:rPr>
      </w:pPr>
      <w:r>
        <w:rPr>
          <w:rFonts w:ascii="David" w:eastAsiaTheme="minorHAnsi" w:hAnsi="David"/>
          <w:noProof w:val="0"/>
          <w:rtl/>
        </w:rPr>
        <w:t xml:space="preserve">כן נפסק, כי </w:t>
      </w:r>
      <w:r>
        <w:rPr>
          <w:rFonts w:ascii="David" w:eastAsiaTheme="minorHAnsi" w:hAnsi="David"/>
          <w:b/>
          <w:bCs/>
          <w:i/>
          <w:iCs/>
          <w:noProof w:val="0"/>
          <w:rtl/>
        </w:rPr>
        <w:t xml:space="preserve">במסגרת הפעלת שיקול הדעת השיפוטי המסור לערכאה </w:t>
      </w:r>
      <w:r>
        <w:rPr>
          <w:rFonts w:ascii="David" w:eastAsiaTheme="minorHAnsi" w:hAnsi="David"/>
          <w:i/>
          <w:iCs/>
          <w:noProof w:val="0"/>
          <w:rtl/>
        </w:rPr>
        <w:t xml:space="preserve">המבררת יש להביא בחשבון </w:t>
      </w:r>
      <w:r>
        <w:rPr>
          <w:rFonts w:ascii="David" w:eastAsiaTheme="minorHAnsi" w:hAnsi="David"/>
          <w:b/>
          <w:bCs/>
          <w:i/>
          <w:iCs/>
          <w:noProof w:val="0"/>
          <w:rtl/>
        </w:rPr>
        <w:t xml:space="preserve">שיקול תוצאתי עתידי </w:t>
      </w:r>
      <w:r>
        <w:rPr>
          <w:rFonts w:ascii="David" w:eastAsiaTheme="minorHAnsi" w:hAnsi="David"/>
          <w:i/>
          <w:iCs/>
          <w:noProof w:val="0"/>
          <w:rtl/>
        </w:rPr>
        <w:t>בדבר הימנעות מיצירת דיכוטומיה בין שני הבתים שבהם חולקים הקטינים את חייהם,</w:t>
      </w:r>
      <w:r>
        <w:rPr>
          <w:rFonts w:ascii="David" w:eastAsiaTheme="minorHAnsi" w:hAnsi="David"/>
          <w:b/>
          <w:bCs/>
          <w:i/>
          <w:iCs/>
          <w:noProof w:val="0"/>
          <w:rtl/>
        </w:rPr>
        <w:t xml:space="preserve"> באופן שבו אחד מהם יהפוך ל"בית עשיר" או "בית מבוסס במובהק"  ומשנהו ל"בית עני" או "בית חסֵר במובהק"</w:t>
      </w:r>
      <w:r>
        <w:rPr>
          <w:rFonts w:ascii="David" w:eastAsiaTheme="minorHAnsi" w:hAnsi="David"/>
          <w:noProof w:val="0"/>
          <w:rtl/>
        </w:rPr>
        <w:t xml:space="preserve">; שיקול זה כרוך, מעצם טיבו וטבעו, בטובתם של קטינים (שם, סעיף 8 לפסה"ד של כב' השופט מזוז; </w:t>
      </w:r>
      <w:proofErr w:type="spellStart"/>
      <w:r>
        <w:rPr>
          <w:rFonts w:ascii="David" w:eastAsiaTheme="minorHAnsi" w:hAnsi="David"/>
          <w:noProof w:val="0"/>
          <w:rtl/>
        </w:rPr>
        <w:t>עמ"ש</w:t>
      </w:r>
      <w:proofErr w:type="spellEnd"/>
      <w:r>
        <w:rPr>
          <w:rFonts w:ascii="David" w:eastAsiaTheme="minorHAnsi" w:hAnsi="David"/>
          <w:noProof w:val="0"/>
          <w:rtl/>
        </w:rPr>
        <w:t xml:space="preserve"> (מרכז) 47782-05-21</w:t>
      </w:r>
      <w:r>
        <w:rPr>
          <w:rFonts w:ascii="David" w:eastAsiaTheme="minorHAnsi" w:hAnsi="David"/>
          <w:b/>
          <w:bCs/>
          <w:noProof w:val="0"/>
          <w:rtl/>
        </w:rPr>
        <w:t xml:space="preserve"> ג.י נ' א.י </w:t>
      </w:r>
      <w:r>
        <w:rPr>
          <w:rFonts w:ascii="David" w:eastAsiaTheme="minorHAnsi" w:hAnsi="David"/>
          <w:noProof w:val="0"/>
          <w:rtl/>
        </w:rPr>
        <w:t>(פורסם במאגרים המשפטיים, 20.1.22)</w:t>
      </w:r>
      <w:r>
        <w:rPr>
          <w:rFonts w:ascii="David" w:eastAsiaTheme="minorHAnsi" w:hAnsi="David"/>
          <w:noProof w:val="0"/>
        </w:rPr>
        <w:t>`</w:t>
      </w:r>
      <w:r>
        <w:rPr>
          <w:rFonts w:ascii="David" w:eastAsiaTheme="minorHAnsi" w:hAnsi="David"/>
          <w:noProof w:val="0"/>
          <w:rtl/>
        </w:rPr>
        <w:t xml:space="preserve">שבו אמנם בחר ביהמ"ש להלך על דרך החישוב המתמטי אך זאת תוך </w:t>
      </w:r>
      <w:r>
        <w:rPr>
          <w:rFonts w:ascii="David" w:eastAsiaTheme="minorHAnsi" w:hAnsi="David"/>
          <w:b/>
          <w:bCs/>
          <w:i/>
          <w:iCs/>
          <w:noProof w:val="0"/>
          <w:rtl/>
        </w:rPr>
        <w:t>הדגשה</w:t>
      </w:r>
      <w:r>
        <w:rPr>
          <w:rFonts w:ascii="David" w:eastAsiaTheme="minorHAnsi" w:hAnsi="David"/>
          <w:noProof w:val="0"/>
          <w:rtl/>
        </w:rPr>
        <w:t>, כי אין משמעות הדבר, כי הוא ואין בלתו.</w:t>
      </w:r>
    </w:p>
    <w:p w:rsidR="00741573" w:rsidRDefault="00741573" w:rsidP="00741573">
      <w:pPr>
        <w:spacing w:after="160" w:line="360" w:lineRule="auto"/>
        <w:ind w:firstLine="360"/>
        <w:jc w:val="both"/>
        <w:rPr>
          <w:rFonts w:ascii="David" w:eastAsia="Calibri" w:hAnsi="David"/>
          <w:b/>
          <w:bCs/>
          <w:noProof w:val="0"/>
          <w:u w:val="single"/>
          <w:rtl/>
        </w:rPr>
      </w:pPr>
    </w:p>
    <w:p w:rsidR="00741573" w:rsidRDefault="00741573" w:rsidP="00741573">
      <w:pPr>
        <w:spacing w:after="160" w:line="360" w:lineRule="auto"/>
        <w:jc w:val="both"/>
        <w:rPr>
          <w:rFonts w:ascii="David" w:eastAsia="Calibri" w:hAnsi="David"/>
          <w:b/>
          <w:bCs/>
          <w:noProof w:val="0"/>
          <w:u w:val="single"/>
          <w:rtl/>
        </w:rPr>
      </w:pPr>
      <w:r>
        <w:rPr>
          <w:rFonts w:ascii="David" w:eastAsia="Calibri" w:hAnsi="David"/>
          <w:b/>
          <w:bCs/>
          <w:noProof w:val="0"/>
          <w:u w:val="single"/>
          <w:rtl/>
        </w:rPr>
        <w:t>ליישום בנסיבות דנא</w:t>
      </w:r>
    </w:p>
    <w:p w:rsidR="00741573" w:rsidRDefault="00741573" w:rsidP="00741573">
      <w:pPr>
        <w:pStyle w:val="a4"/>
        <w:numPr>
          <w:ilvl w:val="0"/>
          <w:numId w:val="1"/>
        </w:numPr>
        <w:spacing w:line="360" w:lineRule="auto"/>
        <w:jc w:val="both"/>
        <w:rPr>
          <w:rFonts w:ascii="David" w:eastAsiaTheme="minorHAnsi" w:hAnsi="David"/>
          <w:noProof w:val="0"/>
          <w:rtl/>
        </w:rPr>
      </w:pPr>
      <w:r>
        <w:rPr>
          <w:rFonts w:ascii="David" w:eastAsiaTheme="minorHAnsi" w:hAnsi="David"/>
          <w:noProof w:val="0"/>
          <w:rtl/>
        </w:rPr>
        <w:t xml:space="preserve">עתה אפנה לבחינת הפרמטרים הנדרשים להכרעה בסוגיית מזונות הקטינים ובהם יחס השתכרות הצדדים, מתווה זמני השהות וכן שיעור צרכי הקטינה בנסיבותינו. </w:t>
      </w:r>
    </w:p>
    <w:p w:rsidR="00741573" w:rsidRDefault="00741573" w:rsidP="00741573">
      <w:pPr>
        <w:pStyle w:val="a4"/>
        <w:spacing w:line="360" w:lineRule="auto"/>
        <w:ind w:left="360"/>
        <w:jc w:val="both"/>
        <w:rPr>
          <w:rFonts w:ascii="David" w:eastAsiaTheme="minorHAnsi" w:hAnsi="David"/>
          <w:noProof w:val="0"/>
        </w:rPr>
      </w:pPr>
    </w:p>
    <w:p w:rsidR="00741573" w:rsidRDefault="00741573" w:rsidP="00741573">
      <w:pPr>
        <w:spacing w:line="360" w:lineRule="auto"/>
        <w:jc w:val="both"/>
        <w:rPr>
          <w:rFonts w:ascii="David" w:eastAsiaTheme="minorHAnsi" w:hAnsi="David"/>
          <w:b/>
          <w:bCs/>
          <w:noProof w:val="0"/>
          <w:u w:val="single"/>
          <w:rtl/>
        </w:rPr>
      </w:pPr>
      <w:r>
        <w:rPr>
          <w:rFonts w:ascii="David" w:eastAsiaTheme="minorHAnsi" w:hAnsi="David"/>
          <w:b/>
          <w:bCs/>
          <w:noProof w:val="0"/>
          <w:u w:val="single"/>
          <w:rtl/>
        </w:rPr>
        <w:t>השתכרות התובעת</w:t>
      </w:r>
    </w:p>
    <w:p w:rsidR="00741573" w:rsidRDefault="00741573" w:rsidP="00EA6451">
      <w:pPr>
        <w:pStyle w:val="a4"/>
        <w:numPr>
          <w:ilvl w:val="0"/>
          <w:numId w:val="1"/>
        </w:numPr>
        <w:spacing w:line="360" w:lineRule="auto"/>
        <w:jc w:val="both"/>
        <w:rPr>
          <w:rtl/>
        </w:rPr>
      </w:pPr>
      <w:r>
        <w:rPr>
          <w:rtl/>
        </w:rPr>
        <w:t xml:space="preserve">התובעת בעלת תואר שני </w:t>
      </w:r>
      <w:r w:rsidR="00EA6451">
        <w:rPr>
          <w:rFonts w:hint="cs"/>
          <w:rtl/>
        </w:rPr>
        <w:t>ב-</w:t>
      </w:r>
      <w:r w:rsidR="00EA6451">
        <w:t>xxx</w:t>
      </w:r>
      <w:r>
        <w:rPr>
          <w:rtl/>
        </w:rPr>
        <w:t xml:space="preserve"> ועובדת כ</w:t>
      </w:r>
      <w:r w:rsidR="00EA6451">
        <w:rPr>
          <w:rFonts w:hint="cs"/>
          <w:rtl/>
        </w:rPr>
        <w:t>-</w:t>
      </w:r>
      <w:r w:rsidR="00EA6451">
        <w:t>zzz</w:t>
      </w:r>
      <w:r>
        <w:rPr>
          <w:rtl/>
        </w:rPr>
        <w:t xml:space="preserve"> בתחום (ר' בעמ' 30, ש' 14 לפרוט'); בהתאם לתלושי השכר שצורפו מטעמה לתיק בית המשפט, </w:t>
      </w:r>
      <w:r>
        <w:rPr>
          <w:rFonts w:ascii="David" w:hAnsi="David"/>
          <w:rtl/>
        </w:rPr>
        <w:t>לחודשים ינואר –מרץ 2021 וכן לחודשים ספטמבר 2021-מרץ 2022, שכרה עמד בממוצע על 7,745 ₪ נטו</w:t>
      </w:r>
      <w:r>
        <w:rPr>
          <w:rtl/>
        </w:rPr>
        <w:t xml:space="preserve"> (ר' נספחים לבקשה מס' 1). לטענתה יופחת שכרה עקב צמצום היקף משרתה; ברם, מהתלושים הנוספים שצורפו מטעמה לחודשים אוקטובר 2021- ספטמבר 2022, לא נצפתה הפחתה, ושכרה עמד על כ- 8,036 ₪ נטו בממוצע, באופן החותר תחת טענותיה לרבות בראי מהימנותה.</w:t>
      </w:r>
      <w:r>
        <w:rPr>
          <w:rFonts w:hint="cs"/>
        </w:rPr>
        <w:t xml:space="preserve"> </w:t>
      </w:r>
    </w:p>
    <w:p w:rsidR="00741573" w:rsidRDefault="00741573" w:rsidP="00741573">
      <w:pPr>
        <w:pStyle w:val="a4"/>
        <w:spacing w:line="360" w:lineRule="auto"/>
        <w:ind w:left="360"/>
        <w:jc w:val="both"/>
      </w:pPr>
    </w:p>
    <w:p w:rsidR="00741573" w:rsidRDefault="00741573" w:rsidP="00E807F1">
      <w:pPr>
        <w:pStyle w:val="a4"/>
        <w:numPr>
          <w:ilvl w:val="0"/>
          <w:numId w:val="1"/>
        </w:numPr>
        <w:spacing w:line="360" w:lineRule="auto"/>
        <w:jc w:val="both"/>
      </w:pPr>
      <w:r>
        <w:rPr>
          <w:rtl/>
        </w:rPr>
        <w:lastRenderedPageBreak/>
        <w:t xml:space="preserve">אליבא דהנתבע ביכולת התובעת להגדיל את הכנסותיה, כגון על דרך ביצוע עבודות פרטיות, כמתן </w:t>
      </w:r>
      <w:r w:rsidR="002A2A90">
        <w:t>hhh</w:t>
      </w:r>
      <w:r w:rsidR="002A2A90">
        <w:rPr>
          <w:rFonts w:hint="cs"/>
          <w:rtl/>
        </w:rPr>
        <w:t xml:space="preserve"> או</w:t>
      </w:r>
      <w:r>
        <w:rPr>
          <w:rtl/>
        </w:rPr>
        <w:t xml:space="preserve"> פעילויות לילדים וכו', כמו גם על דרך הגדלת היקף משרתה; היא אינה עובדת 100% משרה, ומשתכרת כ-8,000 ₪ בחודש. התובעת כופרת בטענותיו, בחקירתה הצהירה, כי אחוז משרתה בשיעור של 92% הינו המקסימלי ובהתאם לו משולם שכרה (ר' בעמ' 28, ש' 20-23 לפרוט'). בסיכומיה שבה וטענה כי הגם שמצוין 92% משרה, מדובר ב-100% משרת אם לפי כללי משרד </w:t>
      </w:r>
      <w:r w:rsidR="00E807F1">
        <w:rPr>
          <w:rFonts w:hint="cs"/>
          <w:rtl/>
        </w:rPr>
        <w:t>ה-</w:t>
      </w:r>
      <w:r w:rsidR="00E807F1">
        <w:t>n</w:t>
      </w:r>
      <w:r>
        <w:rPr>
          <w:rtl/>
        </w:rPr>
        <w:t xml:space="preserve"> (ר' 65, ש' 11 לפרוט' מיום 18.7.2024).</w:t>
      </w:r>
    </w:p>
    <w:p w:rsidR="00741573" w:rsidRDefault="00741573" w:rsidP="00741573">
      <w:pPr>
        <w:spacing w:line="360" w:lineRule="auto"/>
        <w:jc w:val="both"/>
      </w:pPr>
    </w:p>
    <w:p w:rsidR="00741573" w:rsidRDefault="00741573" w:rsidP="00741573">
      <w:pPr>
        <w:pStyle w:val="a4"/>
        <w:numPr>
          <w:ilvl w:val="0"/>
          <w:numId w:val="1"/>
        </w:numPr>
        <w:spacing w:line="360" w:lineRule="auto"/>
        <w:jc w:val="both"/>
      </w:pPr>
      <w:r>
        <w:rPr>
          <w:rtl/>
        </w:rPr>
        <w:t xml:space="preserve">בעניין זה הוסיפה התובעת וטענה, כי היא עובדת 5 ימים בשבוע, בין השעות 8:00-14:30 </w:t>
      </w:r>
      <w:r>
        <w:rPr>
          <w:rtl/>
        </w:rPr>
        <w:br/>
        <w:t>(ר' בעמ' 30, ש' 1-6 לפרוט'); כי היא מטופלת בקטינה וכאשר הקטינה שוהה ומטופלת על ידי אביה היא עסוקה במטלות אחרות ולא נותר לה זמן למתן אימונים או הדרכות פרטיות (ר' בעמ' 30, ש' 18-21 וכן בעמ' 31, ש' 22-30 לפרוט'). התובעת שבה וטענה, כי בניגוד לנטען ע"י הנתבע, היא לא עבדה בעבודות פרטיות, משך חיי הנישואין ואף לא קודם לכן (ר' בעמ' 31 לפרוט').</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Fonts w:ascii="David" w:hAnsi="David"/>
          <w:rtl/>
        </w:rPr>
        <w:t xml:space="preserve">אין חולק, כי במרוצת ההליך, רכש הנתבע את חלקה של התובעת בדירת הצדדים בעבור סך של 3,030,000 ₪ בקיזוז חלקה במשכנתא שהייתה מוטלת על הדירה (בסך של </w:t>
      </w:r>
      <w:r>
        <w:rPr>
          <w:rFonts w:ascii="David" w:hAnsi="David"/>
          <w:rtl/>
        </w:rPr>
        <w:br/>
        <w:t xml:space="preserve">כ-976,727 ₪); עיון בהסכם המכר שצורף לתיק בית המשפט מעלה כי התובעת קיבלה בגין המכר סך העולה על מיליון ₪ (ר' הסכם מכר שצורף לבקשה מס' 25 בתובענה הרכושית). </w:t>
      </w:r>
    </w:p>
    <w:p w:rsidR="00741573" w:rsidRDefault="00741573" w:rsidP="00741573">
      <w:pPr>
        <w:pStyle w:val="a4"/>
      </w:pPr>
    </w:p>
    <w:p w:rsidR="00741573" w:rsidRDefault="00741573" w:rsidP="00810A9B">
      <w:pPr>
        <w:pStyle w:val="a4"/>
        <w:numPr>
          <w:ilvl w:val="0"/>
          <w:numId w:val="1"/>
        </w:numPr>
        <w:spacing w:line="360" w:lineRule="auto"/>
        <w:jc w:val="both"/>
        <w:rPr>
          <w:rtl/>
        </w:rPr>
      </w:pPr>
      <w:r>
        <w:rPr>
          <w:rtl/>
        </w:rPr>
        <w:t>אליבא דהתובעת, הוריה פעלו לרכישת נכס בעבורה למגוריה עם הקטינה, עוד קודם לקבלת חלקה בתמורת דירת הצדדים, מחמת התנהלות הנתבע בעניין מכר הדירה; על כן נאלצו הוריה ואחותה ליטול הלוואות בעבורה לצורך רכישת הנכס. לתצהירה צירפה מספר אסמכתאות בדבר הלוואות לכאורה עבורה אך על</w:t>
      </w:r>
      <w:r w:rsidR="00810A9B">
        <w:rPr>
          <w:rtl/>
        </w:rPr>
        <w:t xml:space="preserve"> שם הוריה</w:t>
      </w:r>
      <w:r>
        <w:rPr>
          <w:rtl/>
        </w:rPr>
        <w:t>(ר' נספחי 2 לתצהיר התובעת); ברם למען הסדר הטוב יצוין, כי המדובר בדפי חשבון בנק, אישורים על נטילת הלוואות ע"י הוריה או מי מהם ללא כל קישור למהות ספציפית שבגינה נטלו הלוואות אלו לרבות בפרט בזיקה לרכישת הדירה. יותר מכך, מבלי הצורך להכריע בגדרי ההליך דנא אשר לאופן התנהלות מי מהצדדים בנוגע למכר דירתם ומבלי להתעלם מהתהליך שארך הדבר, יוער בזהירות המתחייבת, כי סכימה אריתמטית של הסכומים הנקובים במסמכים שצרפה התובעת להוכחת ההלוואות לכאורה אינה מכסה את הסך הנדרש לרכישת הנכס, למצער בשווי הרכישה הנטען ע"י התובעת כפי שצויין בסיכומיה.</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כך גם ברי, ולמצער אף מטענות התובעת, כי דירתה לא שועבדה בהלוואת משכנתא לצורך מימון רכישתה ולמצער  וכי היא אינה נושאת בהחזר תשלומי משכנתא (ר' בעמ' 24 ש' 28-29 לפרוט'). כך גם לא הובהר על ידי התובעת, למצער לא ברף הנדרש, האם פעלה להשיב להוריה את ההלוואות אשר לטענתה ניטלו על ידם לצורך רכישת דירתה, למשל מתוך הכספים שקיבלה לידיה לאחר רכישת חלקה בדירה בידי הנתבע.</w:t>
      </w:r>
    </w:p>
    <w:p w:rsidR="00741573" w:rsidRDefault="00741573" w:rsidP="00741573">
      <w:pPr>
        <w:pStyle w:val="a4"/>
        <w:spacing w:line="360" w:lineRule="auto"/>
        <w:ind w:left="360"/>
        <w:jc w:val="both"/>
        <w:rPr>
          <w:rtl/>
        </w:rPr>
      </w:pPr>
    </w:p>
    <w:p w:rsidR="00741573" w:rsidRDefault="00741573" w:rsidP="00741573">
      <w:pPr>
        <w:pStyle w:val="a4"/>
        <w:spacing w:line="360" w:lineRule="auto"/>
        <w:ind w:left="360"/>
        <w:jc w:val="both"/>
        <w:rPr>
          <w:rtl/>
        </w:rPr>
      </w:pPr>
      <w:r>
        <w:rPr>
          <w:rtl/>
        </w:rPr>
        <w:t xml:space="preserve">בחקירתה טענה התובעת, כי מידי חודש היא נושאת בהחזר הלוואות בסך של 2,000 ₪ בגין התחייבויות כספיות שנטלה ועוד נדרשת להחזיר לאחותה סך של 1,600 ₪ בחודש, אך אינה מצליחה לעשות כן בשל הוצאותיה המרובות (ר' בעמ' 24, ש' 31-35 וכן בעמ' 25 ש' 22-24 לפרוט' </w:t>
      </w:r>
      <w:r>
        <w:rPr>
          <w:rtl/>
        </w:rPr>
        <w:lastRenderedPageBreak/>
        <w:t xml:space="preserve">הדיון מיום 17.4.2024). עוד הוסיפה וטענה, כי סך הוצאות אחזקת המדור, עומד על </w:t>
      </w:r>
      <w:r>
        <w:rPr>
          <w:rtl/>
        </w:rPr>
        <w:br/>
        <w:t>כ-1,500 ₪ בחודש; אלא שלא צורפו על ידה אסמכתאות למלוא התימוכין בטענותיה.</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בסיכומיה טענה התובעת, </w:t>
      </w:r>
      <w:r>
        <w:rPr>
          <w:i/>
          <w:iCs/>
          <w:rtl/>
        </w:rPr>
        <w:t>לפתע</w:t>
      </w:r>
      <w:r>
        <w:rPr>
          <w:rtl/>
        </w:rPr>
        <w:t xml:space="preserve">, כי הדירה שרכשה הייתה בעלות של 2,870,000 ₪, וכי לאחר תשלום 900,000 ₪ שקיבלה בעבור חלקה בדירה, נותרה עם משכנתא גבוהה, שהחזריה החודשיים עומדים על סך של 6,500 ₪ בחודש, כך שבידה הכנסה פנויה של 500 ₪ בלבד.  </w:t>
      </w:r>
      <w:r>
        <w:rPr>
          <w:i/>
          <w:iCs/>
          <w:rtl/>
        </w:rPr>
        <w:t>ברם, טענות אלו שהועלו לראשונה בסיכומים, לא הוכחו על ידה.</w:t>
      </w:r>
      <w:r>
        <w:rPr>
          <w:rtl/>
        </w:rPr>
        <w:t xml:space="preserve">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עיון בתיק מעלה, כי מטעם התובעת לא צורפו תדפיסי חשבון בנק או תדפיסי כרטיס אשראי </w:t>
      </w:r>
      <w:r>
        <w:rPr>
          <w:b/>
          <w:bCs/>
          <w:u w:val="single"/>
          <w:rtl/>
        </w:rPr>
        <w:t>מעודכנים</w:t>
      </w:r>
      <w:r>
        <w:rPr>
          <w:rtl/>
        </w:rPr>
        <w:t>, למעט אסמכתאות אחדות לחודשים אפריל-אוקטובר 2022 (ר' מסמכים שצורפו לבקשה מס' 10 מיום 24.10.22), באופן המקשה מאוד על הבנה, למצער עד תום, של התמונה הכלכלית בעניינה.</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בנסיבות אלה ובהינתן כלל המונח בפניי, מצאתי להעמיד את כושר השתכרותה של התובעת על סך של 9,500 ₪ נטו בחודש. </w:t>
      </w:r>
    </w:p>
    <w:p w:rsidR="00741573" w:rsidRDefault="00741573" w:rsidP="00741573">
      <w:pPr>
        <w:spacing w:line="360" w:lineRule="auto"/>
        <w:jc w:val="both"/>
        <w:rPr>
          <w:b/>
          <w:bCs/>
          <w:u w:val="single"/>
          <w:rtl/>
        </w:rPr>
      </w:pPr>
    </w:p>
    <w:p w:rsidR="00741573" w:rsidRDefault="00741573" w:rsidP="00741573">
      <w:pPr>
        <w:spacing w:line="360" w:lineRule="auto"/>
        <w:jc w:val="both"/>
        <w:rPr>
          <w:b/>
          <w:bCs/>
          <w:u w:val="single"/>
          <w:rtl/>
        </w:rPr>
      </w:pPr>
      <w:r>
        <w:rPr>
          <w:b/>
          <w:bCs/>
          <w:u w:val="single"/>
          <w:rtl/>
        </w:rPr>
        <w:t xml:space="preserve">השתכרות הנתבע </w:t>
      </w:r>
    </w:p>
    <w:p w:rsidR="00741573" w:rsidRDefault="00741573" w:rsidP="00EA6451">
      <w:pPr>
        <w:pStyle w:val="a4"/>
        <w:numPr>
          <w:ilvl w:val="0"/>
          <w:numId w:val="1"/>
        </w:numPr>
        <w:spacing w:line="360" w:lineRule="auto"/>
        <w:jc w:val="both"/>
        <w:rPr>
          <w:b/>
          <w:bCs/>
          <w:u w:val="single"/>
          <w:rtl/>
        </w:rPr>
      </w:pPr>
      <w:r>
        <w:rPr>
          <w:rtl/>
        </w:rPr>
        <w:t xml:space="preserve">הנתבע </w:t>
      </w:r>
      <w:r w:rsidR="00EA6451">
        <w:t>aaa</w:t>
      </w:r>
      <w:r>
        <w:rPr>
          <w:rtl/>
        </w:rPr>
        <w:t xml:space="preserve"> בהכשרתו ועוסק בתחום זה לפרנסתו; תחילה עבד בחברה המשפחתית </w:t>
      </w:r>
      <w:r w:rsidR="00810A9B">
        <w:rPr>
          <w:rFonts w:hint="cs"/>
          <w:rtl/>
        </w:rPr>
        <w:t xml:space="preserve">שנמכרה </w:t>
      </w:r>
      <w:r>
        <w:rPr>
          <w:rtl/>
        </w:rPr>
        <w:t xml:space="preserve">בהמשך לצדדי ג', ואזי פוטר. </w:t>
      </w:r>
      <w:r>
        <w:rPr>
          <w:rFonts w:ascii="David" w:hAnsi="David"/>
          <w:rtl/>
        </w:rPr>
        <w:t>בתלושי השכר לחודשים נובמבר 2020- אוגוסט 2021 אשר הומצאו לתיק, עומד ממוצע השתכרותו כ- 11,101 ₪ נטו לחודש (ר' נספחים לתגובה למזונות זמניים). לתצהירו צירף תלושים ממקום עבודתו החדש, לחודשים מאי 2022-אפריל 2023 מהם עולה, כי השתכר כ-8,994 ₪ נטו בממוצע לחודש (ר' נספחי א לתצהיר עדות ראשית).</w:t>
      </w:r>
    </w:p>
    <w:p w:rsidR="00741573" w:rsidRDefault="00741573" w:rsidP="00741573">
      <w:pPr>
        <w:pStyle w:val="a4"/>
        <w:spacing w:line="360" w:lineRule="auto"/>
        <w:ind w:left="360"/>
        <w:jc w:val="both"/>
        <w:rPr>
          <w:b/>
          <w:bCs/>
          <w:u w:val="single"/>
        </w:rPr>
      </w:pPr>
      <w:r>
        <w:rPr>
          <w:rFonts w:ascii="David" w:hAnsi="David"/>
          <w:rtl/>
        </w:rPr>
        <w:t xml:space="preserve"> </w:t>
      </w:r>
    </w:p>
    <w:p w:rsidR="00741573" w:rsidRDefault="00741573" w:rsidP="00741573">
      <w:pPr>
        <w:pStyle w:val="a4"/>
        <w:numPr>
          <w:ilvl w:val="0"/>
          <w:numId w:val="1"/>
        </w:numPr>
        <w:spacing w:line="360" w:lineRule="auto"/>
        <w:jc w:val="both"/>
        <w:rPr>
          <w:b/>
          <w:bCs/>
          <w:u w:val="single"/>
        </w:rPr>
      </w:pPr>
      <w:r>
        <w:rPr>
          <w:rFonts w:ascii="David" w:hAnsi="David"/>
          <w:rtl/>
        </w:rPr>
        <w:t xml:space="preserve">התובעת טענה, כי תלושי השכר של הנתבע מהעסק המשפחתי נוסחו באופן מגמתי, ובהיעדר התייחסות להטבת הרכב שקיבל בתוספת דלקן, שיש לשקפה בערכי נטו בשכרו החודשי. הנתבע טען מצידו, כי הוא עושה שימוש ברכב ישן שניתן לו ע"י אביו ואין בכך להגדיל את כושר השתכרותו, אשר נותר ברף דומה במשך השנים. </w:t>
      </w:r>
    </w:p>
    <w:p w:rsidR="00741573" w:rsidRDefault="00741573" w:rsidP="00741573">
      <w:pPr>
        <w:pStyle w:val="a4"/>
        <w:rPr>
          <w:b/>
          <w:bCs/>
          <w:u w:val="single"/>
        </w:rPr>
      </w:pPr>
    </w:p>
    <w:p w:rsidR="00741573" w:rsidRDefault="00741573" w:rsidP="00A24607">
      <w:pPr>
        <w:pStyle w:val="a4"/>
        <w:numPr>
          <w:ilvl w:val="0"/>
          <w:numId w:val="1"/>
        </w:numPr>
        <w:spacing w:line="360" w:lineRule="auto"/>
        <w:jc w:val="both"/>
        <w:rPr>
          <w:b/>
          <w:bCs/>
          <w:u w:val="single"/>
          <w:rtl/>
        </w:rPr>
      </w:pPr>
      <w:r>
        <w:rPr>
          <w:rtl/>
        </w:rPr>
        <w:t>בחקירתו הצהיר הנתבע, כי כיום הוא עובד כ</w:t>
      </w:r>
      <w:r w:rsidR="00A24607">
        <w:rPr>
          <w:rFonts w:hint="cs"/>
          <w:rtl/>
        </w:rPr>
        <w:t>-</w:t>
      </w:r>
      <w:r w:rsidR="00A24607">
        <w:t>uuu</w:t>
      </w:r>
      <w:r>
        <w:rPr>
          <w:rtl/>
        </w:rPr>
        <w:t xml:space="preserve"> של חברה בת</w:t>
      </w:r>
      <w:r w:rsidR="00EA6451">
        <w:rPr>
          <w:rFonts w:hint="cs"/>
          <w:rtl/>
        </w:rPr>
        <w:t xml:space="preserve"> </w:t>
      </w:r>
      <w:r w:rsidR="00EA6451">
        <w:t>x</w:t>
      </w:r>
      <w:r>
        <w:rPr>
          <w:rtl/>
        </w:rPr>
        <w:t xml:space="preserve"> </w:t>
      </w:r>
      <w:r w:rsidR="00EA6451">
        <w:t xml:space="preserve"> </w:t>
      </w:r>
      <w:r>
        <w:rPr>
          <w:rtl/>
        </w:rPr>
        <w:t xml:space="preserve">עובדים אך זאת באמצעות חברה המעניקה שירותים פיננסיים (ר' בעמ' 39 לפרוט'). לדידו אינו זכאי לקבל הטבות בכסף או שווה כסף מן החברה אשר לה הוא מעניק שירותים (ר' שם בעמ' 40). בהמשך חקירתו עלה כי בעת הזו עובד כ-80% משרה; הדבר נובע לטענתו בשל הצורך בהוצאת הקטינה בימים בהם היא שוהה עמו וכן בגין מצבו הכללי, הוריד הנתבע את היקף המשרה (ר' בעמ' 41, ש' 11-17). הנתבע אישר בחקירתו, כי ככל ויעבוד משרה מלאה, שכרו יגיע לסך של 12,500 ₪ נטו בחודש אך בעת הזו, לטענתו, אינו יכול להעלות את היקף המשרה (ר' בעמ' 43, ש' 1-8). ברם, בסיכומיו טען </w:t>
      </w:r>
      <w:r>
        <w:rPr>
          <w:i/>
          <w:iCs/>
          <w:rtl/>
        </w:rPr>
        <w:t>לפתע,</w:t>
      </w:r>
      <w:r>
        <w:rPr>
          <w:rtl/>
        </w:rPr>
        <w:t xml:space="preserve"> כי מדובר ב-12,500 ₪ ברוטו לחודש (ר' בעמ' 60, ש' 12 לפרוט' מיום 18.7.2024).  </w:t>
      </w:r>
    </w:p>
    <w:p w:rsidR="00741573" w:rsidRDefault="00741573" w:rsidP="00741573">
      <w:pPr>
        <w:pStyle w:val="a4"/>
        <w:rPr>
          <w:rFonts w:ascii="David" w:hAnsi="David"/>
        </w:rPr>
      </w:pPr>
    </w:p>
    <w:p w:rsidR="00741573" w:rsidRDefault="00741573" w:rsidP="00741573">
      <w:pPr>
        <w:pStyle w:val="a4"/>
        <w:numPr>
          <w:ilvl w:val="0"/>
          <w:numId w:val="1"/>
        </w:numPr>
        <w:spacing w:line="360" w:lineRule="auto"/>
        <w:jc w:val="both"/>
        <w:rPr>
          <w:b/>
          <w:bCs/>
          <w:u w:val="single"/>
          <w:rtl/>
        </w:rPr>
      </w:pPr>
      <w:r>
        <w:rPr>
          <w:rFonts w:ascii="David" w:hAnsi="David"/>
          <w:rtl/>
        </w:rPr>
        <w:t xml:space="preserve">הנתבע בתצהירו טען, כי נאלץ להגדיל את המשכנתא שהייתה מוטלת על הדירה באופן שבו ההחזר החודשי עומד עתה על סך של כ-6,000 ₪ לחודש; הוסיף כי נושא בהוצאות אחזקת </w:t>
      </w:r>
      <w:r>
        <w:rPr>
          <w:rFonts w:ascii="David" w:hAnsi="David"/>
          <w:rtl/>
        </w:rPr>
        <w:lastRenderedPageBreak/>
        <w:t xml:space="preserve">מדור המסתכמות בסך של כ-1,700 ₪ (ר' נספחי ב' שצורפו לתצהיר). בחקירתו אמר </w:t>
      </w:r>
      <w:r>
        <w:rPr>
          <w:rFonts w:ascii="David" w:hAnsi="David"/>
          <w:i/>
          <w:iCs/>
          <w:rtl/>
        </w:rPr>
        <w:t>לפתע</w:t>
      </w:r>
      <w:r>
        <w:rPr>
          <w:rFonts w:ascii="David" w:hAnsi="David"/>
          <w:rtl/>
        </w:rPr>
        <w:t>,</w:t>
      </w:r>
      <w:r>
        <w:rPr>
          <w:rFonts w:ascii="David" w:hAnsi="David"/>
          <w:rtl/>
        </w:rPr>
        <w:br/>
        <w:t xml:space="preserve">כי אמו משלמת בעבורו מחצית מהחזר המשכנתא החודשי, בסך של 3,000 ₪, כדי לעזור לו </w:t>
      </w:r>
      <w:r>
        <w:rPr>
          <w:rFonts w:ascii="David" w:hAnsi="David"/>
          <w:rtl/>
        </w:rPr>
        <w:br/>
        <w:t xml:space="preserve">(ר' בעמ' 50, ש' 23-35 לפרוט'); כי הוא עדיין עושה שימוש ברכב שניתן לו ע"י אביו (ר' בעמ' 55, ש' 18-20). </w:t>
      </w:r>
      <w:r>
        <w:rPr>
          <w:rtl/>
        </w:rPr>
        <w:t>בסיכומיו טען כי הוכח שהוא זה שנושא בתשלומי אחזקת הרכב, לרבות דלק (ר' בעמ' 62, ש' 32 לפרוט').</w:t>
      </w:r>
      <w:r>
        <w:rPr>
          <w:b/>
          <w:bCs/>
          <w:u w:val="single"/>
          <w:rtl/>
        </w:rPr>
        <w:t xml:space="preserve"> </w:t>
      </w:r>
    </w:p>
    <w:p w:rsidR="00741573" w:rsidRDefault="00741573" w:rsidP="00741573">
      <w:pPr>
        <w:pStyle w:val="a4"/>
        <w:rPr>
          <w:b/>
          <w:bCs/>
          <w:u w:val="single"/>
        </w:rPr>
      </w:pPr>
    </w:p>
    <w:p w:rsidR="00741573" w:rsidRDefault="00741573" w:rsidP="00741573">
      <w:pPr>
        <w:pStyle w:val="a4"/>
        <w:numPr>
          <w:ilvl w:val="0"/>
          <w:numId w:val="1"/>
        </w:numPr>
        <w:spacing w:line="360" w:lineRule="auto"/>
        <w:jc w:val="both"/>
        <w:rPr>
          <w:b/>
          <w:bCs/>
          <w:u w:val="single"/>
          <w:rtl/>
        </w:rPr>
      </w:pPr>
      <w:r>
        <w:rPr>
          <w:rtl/>
        </w:rPr>
        <w:t xml:space="preserve">אליבא דהנתבע, סך הוצאותיו החודשיות מגיעות לסך של כ-9,975 ₪, וזאת עוד לפני שהוסיף את הוצאות המזון והמחייה וכן הוצאות שמוציא עבור הקטינה בעת שהותה אצלו, כך שמידי חודש מצוי הוא בגירעון חודשי מתמשך. לתצהירו צירף תדפיסי אשראי, ברם, מרבית מן התדפיסים הללו צורפו בצורה </w:t>
      </w:r>
      <w:r>
        <w:rPr>
          <w:i/>
          <w:iCs/>
          <w:rtl/>
        </w:rPr>
        <w:t>בלתי ברורה לקריאה דיה</w:t>
      </w:r>
      <w:r>
        <w:rPr>
          <w:rtl/>
        </w:rPr>
        <w:t xml:space="preserve"> (ר' נספחי ג' לתצהיר), כך שלא מצאתי כי שיעור ההוצאות הנטען, הוכח על ידו.   </w:t>
      </w:r>
    </w:p>
    <w:p w:rsidR="00741573" w:rsidRDefault="00741573" w:rsidP="00741573">
      <w:pPr>
        <w:pStyle w:val="a4"/>
        <w:rPr>
          <w:b/>
          <w:bCs/>
          <w:u w:val="single"/>
        </w:rPr>
      </w:pPr>
    </w:p>
    <w:p w:rsidR="00741573" w:rsidRDefault="00741573" w:rsidP="00741573">
      <w:pPr>
        <w:pStyle w:val="a4"/>
        <w:numPr>
          <w:ilvl w:val="0"/>
          <w:numId w:val="1"/>
        </w:numPr>
        <w:spacing w:line="360" w:lineRule="auto"/>
        <w:jc w:val="both"/>
        <w:rPr>
          <w:b/>
          <w:bCs/>
          <w:u w:val="single"/>
          <w:rtl/>
        </w:rPr>
      </w:pPr>
      <w:r>
        <w:rPr>
          <w:rtl/>
        </w:rPr>
        <w:t xml:space="preserve">לאחר עיון בכל המונח לפני, ומשלא עלה בידי התובעת להוכיח כי לנתבע פוטנציאל השתכרות גבוה בהרבה, כנטען על ידה, בסך של 20,000 ₪ נטו לחודש ובהתחשב במכלול הנתונים שהונח לפניי, מצאתי להעמיד את כושר השתכרותו של הנתבע על סך של כ-14,000 ₪ נטו בחודש. </w:t>
      </w:r>
    </w:p>
    <w:p w:rsidR="00741573" w:rsidRDefault="00741573" w:rsidP="00741573">
      <w:pPr>
        <w:pStyle w:val="a4"/>
        <w:rPr>
          <w:b/>
          <w:bCs/>
          <w:u w:val="single"/>
        </w:rPr>
      </w:pPr>
    </w:p>
    <w:p w:rsidR="00741573" w:rsidRDefault="00741573" w:rsidP="00741573">
      <w:pPr>
        <w:pStyle w:val="a4"/>
        <w:numPr>
          <w:ilvl w:val="0"/>
          <w:numId w:val="1"/>
        </w:numPr>
        <w:spacing w:line="360" w:lineRule="auto"/>
        <w:jc w:val="both"/>
        <w:rPr>
          <w:b/>
          <w:bCs/>
          <w:rtl/>
        </w:rPr>
      </w:pPr>
      <w:r>
        <w:rPr>
          <w:rtl/>
        </w:rPr>
        <w:t>בהתאם לכך, עומד יחס השתכרות הצדדים תוך שקלול הפוטנציאל על 60% הנתבע ו-40% התובעת (במעוגל).</w:t>
      </w:r>
    </w:p>
    <w:p w:rsidR="00741573" w:rsidRDefault="00741573" w:rsidP="00741573">
      <w:pPr>
        <w:pStyle w:val="a4"/>
        <w:rPr>
          <w:b/>
          <w:bCs/>
        </w:rPr>
      </w:pPr>
    </w:p>
    <w:p w:rsidR="00741573" w:rsidRDefault="00741573" w:rsidP="00741573">
      <w:pPr>
        <w:spacing w:line="360" w:lineRule="auto"/>
        <w:jc w:val="both"/>
        <w:rPr>
          <w:b/>
          <w:bCs/>
          <w:u w:val="single"/>
          <w:rtl/>
        </w:rPr>
      </w:pPr>
      <w:r>
        <w:rPr>
          <w:b/>
          <w:bCs/>
          <w:u w:val="single"/>
          <w:rtl/>
        </w:rPr>
        <w:t>מתווה חלוקת זמני השהות</w:t>
      </w:r>
    </w:p>
    <w:p w:rsidR="00741573" w:rsidRDefault="00741573" w:rsidP="00741573">
      <w:pPr>
        <w:pStyle w:val="a4"/>
        <w:numPr>
          <w:ilvl w:val="0"/>
          <w:numId w:val="1"/>
        </w:numPr>
        <w:spacing w:line="360" w:lineRule="auto"/>
        <w:jc w:val="both"/>
        <w:rPr>
          <w:rtl/>
        </w:rPr>
      </w:pPr>
      <w:r>
        <w:rPr>
          <w:rtl/>
        </w:rPr>
        <w:t>בהתאם לחלוקת הזמנים הנוהגת בין הצדדים ופסק הדין שניתן בסוגיה, הקטינה מטופלת על ידי האב פעמיים באמצע השבוע, לרבות לינה והחזרתה למסגרת החינוכית בבוקר יום המחרת וכן בכל סופ"ש שני, החל מיום שישי ועד ליום ראשון בבוקר, עת חוזרת למסגרת החינוכית; ביתרת הזמן מטופלת הקטינה אצל האם; הצדדים אף חולקים את ימי החופשות והחגים ביניהם והתובעת אף אישרה כי חלוקת הזמנים מתקיימת לאשורה (ר' בעמ' 19, ש' 31-35 לפרוט' הדיון מיום 17.4.2024). במצב דברים זה, יחס זמני השהות בין הצדדים הינו 43% הנתבע ו-57% לתובעת.</w:t>
      </w:r>
    </w:p>
    <w:p w:rsidR="00741573" w:rsidRDefault="00741573" w:rsidP="00741573">
      <w:pPr>
        <w:pStyle w:val="a4"/>
        <w:spacing w:line="360" w:lineRule="auto"/>
        <w:ind w:left="360"/>
        <w:jc w:val="both"/>
      </w:pPr>
    </w:p>
    <w:p w:rsidR="00741573" w:rsidRDefault="00741573" w:rsidP="00741573">
      <w:pPr>
        <w:spacing w:line="360" w:lineRule="auto"/>
        <w:jc w:val="both"/>
        <w:rPr>
          <w:b/>
          <w:bCs/>
          <w:u w:val="single"/>
          <w:rtl/>
        </w:rPr>
      </w:pPr>
      <w:r>
        <w:rPr>
          <w:b/>
          <w:bCs/>
          <w:u w:val="single"/>
          <w:rtl/>
        </w:rPr>
        <w:t>צרכי הקטינה</w:t>
      </w:r>
    </w:p>
    <w:p w:rsidR="00741573" w:rsidRDefault="00741573" w:rsidP="00741573">
      <w:pPr>
        <w:pStyle w:val="a4"/>
        <w:numPr>
          <w:ilvl w:val="0"/>
          <w:numId w:val="1"/>
        </w:numPr>
        <w:spacing w:line="360" w:lineRule="auto"/>
        <w:jc w:val="both"/>
        <w:rPr>
          <w:rFonts w:ascii="David" w:hAnsi="David"/>
        </w:rPr>
      </w:pPr>
      <w:r>
        <w:rPr>
          <w:rFonts w:ascii="David" w:hAnsi="David"/>
          <w:rtl/>
        </w:rPr>
        <w:t xml:space="preserve">תביעה למזונות, ככל תביעה מסוג זה, טעונה הוכחה היא (ע"א 130/85 </w:t>
      </w:r>
      <w:r>
        <w:rPr>
          <w:rFonts w:ascii="David" w:hAnsi="David"/>
          <w:b/>
          <w:bCs/>
          <w:rtl/>
        </w:rPr>
        <w:t>כהן נ' כהן,</w:t>
      </w:r>
      <w:r>
        <w:rPr>
          <w:rFonts w:ascii="David" w:hAnsi="David"/>
          <w:rtl/>
        </w:rPr>
        <w:t xml:space="preserve"> פ"ד מ</w:t>
      </w:r>
      <w:r>
        <w:rPr>
          <w:rFonts w:ascii="David" w:hAnsi="David"/>
          <w:color w:val="000000"/>
          <w:rtl/>
        </w:rPr>
        <w:t xml:space="preserve"> (1) 69, 71 (1979)); </w:t>
      </w:r>
      <w:r>
        <w:rPr>
          <w:rFonts w:ascii="David" w:hAnsi="David"/>
          <w:rtl/>
        </w:rPr>
        <w:t xml:space="preserve">ברם הלכה ידועה היא כי, מקום שלא מוכחים כל הצרכים, נפסקים המזונות בהתאם לשיקול הדעת השיפוטי, לרבות על דרך קביעת אומדן צרכים סביר וראוי (ר' ע"א 687/83 </w:t>
      </w:r>
      <w:r>
        <w:rPr>
          <w:rFonts w:ascii="David" w:hAnsi="David"/>
          <w:b/>
          <w:bCs/>
          <w:rtl/>
        </w:rPr>
        <w:t>מזור נ' מזור</w:t>
      </w:r>
      <w:r>
        <w:rPr>
          <w:rFonts w:ascii="David" w:hAnsi="David"/>
          <w:rtl/>
        </w:rPr>
        <w:t>, פ"ד לח (3) 29, 33 (1984)).</w:t>
      </w:r>
    </w:p>
    <w:p w:rsidR="00741573" w:rsidRDefault="00741573" w:rsidP="00741573">
      <w:pPr>
        <w:pStyle w:val="a4"/>
        <w:rPr>
          <w:rFonts w:ascii="David" w:hAnsi="David"/>
        </w:rPr>
      </w:pPr>
    </w:p>
    <w:p w:rsidR="00741573" w:rsidRDefault="00741573" w:rsidP="00741573">
      <w:pPr>
        <w:pStyle w:val="a4"/>
        <w:numPr>
          <w:ilvl w:val="0"/>
          <w:numId w:val="1"/>
        </w:numPr>
        <w:spacing w:line="360" w:lineRule="auto"/>
        <w:jc w:val="both"/>
        <w:rPr>
          <w:rFonts w:ascii="David" w:hAnsi="David"/>
          <w:rtl/>
        </w:rPr>
      </w:pPr>
      <w:r>
        <w:rPr>
          <w:rFonts w:ascii="David" w:hAnsi="David"/>
          <w:rtl/>
        </w:rPr>
        <w:t>בעבר הוערך שיעור המזונות ההכרחיים לקטין בסכומים הנעים בין סך של</w:t>
      </w:r>
      <w:r>
        <w:rPr>
          <w:rFonts w:ascii="David" w:hAnsi="David"/>
          <w:rtl/>
        </w:rPr>
        <w:br/>
        <w:t>1,400-1,300 ₪ (ר' למשל בע"מ 919/15</w:t>
      </w:r>
      <w:r>
        <w:rPr>
          <w:rFonts w:ascii="David" w:hAnsi="David"/>
          <w:b/>
          <w:bCs/>
          <w:rtl/>
        </w:rPr>
        <w:t xml:space="preserve"> פלונית נ' פלוני ואח'</w:t>
      </w:r>
      <w:r>
        <w:rPr>
          <w:rFonts w:ascii="David" w:hAnsi="David"/>
          <w:rtl/>
        </w:rPr>
        <w:t xml:space="preserve"> (פורסם במאגרים המשפטיים, 19.7.17)); ברם, במרוצת הזמן עודכנו הסכומים בפסיקה ובד בבד נערכה אבחנה לעניין זה בין קטינים המחלקים את זמנם בין שני בתים, תחת חלוקת זמני שהות נרחבת דומה או שווה, לבין כאלה השוהים עיקר זמנם בבית אחד ומתקיימים חלוקת זמני שהות מצומצמת עם מי מההורים.</w:t>
      </w:r>
    </w:p>
    <w:p w:rsidR="00741573" w:rsidRDefault="00741573" w:rsidP="00741573">
      <w:pPr>
        <w:pStyle w:val="a4"/>
        <w:rPr>
          <w:rFonts w:ascii="David" w:hAnsi="David"/>
        </w:rPr>
      </w:pPr>
    </w:p>
    <w:p w:rsidR="00741573" w:rsidRDefault="00741573" w:rsidP="00741573">
      <w:pPr>
        <w:pStyle w:val="a4"/>
        <w:numPr>
          <w:ilvl w:val="0"/>
          <w:numId w:val="1"/>
        </w:numPr>
        <w:spacing w:line="360" w:lineRule="auto"/>
        <w:jc w:val="both"/>
        <w:rPr>
          <w:rFonts w:ascii="David" w:hAnsi="David"/>
          <w:rtl/>
        </w:rPr>
      </w:pPr>
      <w:r>
        <w:rPr>
          <w:rFonts w:ascii="David" w:hAnsi="David"/>
          <w:rtl/>
        </w:rPr>
        <w:t xml:space="preserve">הדברים עולים ברורות מהאמור בפסה"ד של ביהמ"ש המחוזי (מרכז) הקובע, בין היתר כי </w:t>
      </w:r>
      <w:r>
        <w:rPr>
          <w:rFonts w:ascii="David" w:hAnsi="David"/>
          <w:b/>
          <w:bCs/>
          <w:i/>
          <w:iCs/>
          <w:rtl/>
        </w:rPr>
        <w:t>"בכל הקשור לצרכי כל אחד מהקטינים, צודק המערער כי קיים הבדל בין קטין המחלק את זמנו בין שני בתים שאז הוערכו מזונותיו בשיעור הנע בין 2,250 ₪ ל-2,400 ₪ לחודש (וראו, כדוגמה, עמש (מרכז) 31135-07-20 – ד.ש. נ' מ.מ.ש. (2021); עמש (מרכז) 45565-07-20 א.פ נ' ק.פ (2021) בסע' 20 לפס' הדין והפסיקה הענפה המובאת שם), לבין מזונותיו של קטין המתגורר בעיקרו בבית אחד ומקיים זמני שהות מוגבלים ביותר עם ההורה האחר שאז הוערכו מזונותיו בשיעורים הנעים בין 1,600 ₪ ל-1,900 ₪ לחודש (עמש (מרכז 5121-05-20 – י.ג. נ' נ.ג, (2020); עמש (צל אביב) 1971-12-16 – פלוני נ' פלונית (2019); עמ"ש (מחוזי ת"א) 46291-01-16 פלונית נ' פלוני (2017), עמ"ש 32172-11-17 ע.ש נ' נ.ש (2019); תלהמ (תל אביב) 70922-07-18 – ל' מ' נ' י' ס', (2020)"</w:t>
      </w:r>
      <w:r>
        <w:rPr>
          <w:rFonts w:ascii="David" w:hAnsi="David"/>
          <w:rtl/>
        </w:rPr>
        <w:t xml:space="preserve">(ר' סעיף 20 לעמ"ש 51056-09-20 (מרכז) </w:t>
      </w:r>
      <w:r>
        <w:rPr>
          <w:rFonts w:ascii="David" w:hAnsi="David"/>
          <w:b/>
          <w:bCs/>
          <w:rtl/>
        </w:rPr>
        <w:t xml:space="preserve">פלוני נ' פלונית </w:t>
      </w:r>
      <w:r>
        <w:rPr>
          <w:rFonts w:ascii="David" w:hAnsi="David"/>
          <w:rtl/>
        </w:rPr>
        <w:t>(פורסם במאגרים האלקטרוניים,23.3.21)).</w:t>
      </w:r>
    </w:p>
    <w:p w:rsidR="00741573" w:rsidRDefault="00741573" w:rsidP="00741573">
      <w:pPr>
        <w:pStyle w:val="a4"/>
        <w:rPr>
          <w:rFonts w:ascii="David" w:hAnsi="David"/>
        </w:rPr>
      </w:pPr>
    </w:p>
    <w:p w:rsidR="00741573" w:rsidRDefault="00741573" w:rsidP="00741573">
      <w:pPr>
        <w:pStyle w:val="a4"/>
        <w:numPr>
          <w:ilvl w:val="0"/>
          <w:numId w:val="1"/>
        </w:numPr>
        <w:spacing w:line="360" w:lineRule="auto"/>
        <w:jc w:val="both"/>
        <w:rPr>
          <w:rFonts w:ascii="Arial" w:hAnsi="Arial"/>
          <w:noProof w:val="0"/>
          <w:rtl/>
        </w:rPr>
      </w:pPr>
      <w:r>
        <w:rPr>
          <w:rtl/>
        </w:rPr>
        <w:t xml:space="preserve">התובעת העמידה את צרכי הקטינה על סך של 2,500 ₪ בחודש, על פי הפירוט: </w:t>
      </w:r>
      <w:r>
        <w:rPr>
          <w:rFonts w:ascii="Arial" w:hAnsi="Arial"/>
          <w:noProof w:val="0"/>
          <w:rtl/>
        </w:rPr>
        <w:t xml:space="preserve">הוצאותיה החודשיות של הקטינה: כלכלה 1,400 ₪, ביגוד והנעלה 250 ₪, תרבת ופנאי 300 ₪, נסיעות 250 ₪, בייביסיטר 200 ₪, קופ"ח 100 ₪ ובסה"כ 2,500 ₪. </w:t>
      </w:r>
    </w:p>
    <w:p w:rsidR="00741573" w:rsidRDefault="00741573" w:rsidP="00741573">
      <w:pPr>
        <w:spacing w:line="360" w:lineRule="auto"/>
        <w:jc w:val="both"/>
        <w:rPr>
          <w:rFonts w:ascii="Arial" w:hAnsi="Arial"/>
          <w:noProof w:val="0"/>
        </w:rPr>
      </w:pPr>
    </w:p>
    <w:p w:rsidR="00741573" w:rsidRDefault="00741573" w:rsidP="00741573">
      <w:pPr>
        <w:pStyle w:val="a4"/>
        <w:numPr>
          <w:ilvl w:val="0"/>
          <w:numId w:val="1"/>
        </w:numPr>
        <w:spacing w:line="360" w:lineRule="auto"/>
        <w:jc w:val="both"/>
      </w:pPr>
      <w:r>
        <w:rPr>
          <w:rtl/>
        </w:rPr>
        <w:t xml:space="preserve">בתצהירה טענה, כי יש להורות על חיובו במזונות שוטפים בסך של 2,555 ₪, ב-30% מעלות הוצאות אחזקת המדור בסך של 500 ₪ (חלקה של הקטינה) וכן ב-75% מהוצאות הרפואה והחינוך. מנגד טען הנתבע כי ההוצאות הנטענות של הקטינה כפי שהובאו מטעם התובעת מופרכות ומוגזמות ונטענו מן השפה לחוץ ובהיעדר תימוכין; כן הוסיף, כי הוא נושא במישרין בצרכיה של הקטינה בעת שהותה אצלו.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עיון בתיק מעלה, כי מטעם התובעת לא הובאו אסמכתאות להוכחת הצרכים הנטענים של הקטינה, ולתצהירו של הנתבע צורפו מספר קבלות המשקפות חלק מן ההוצאות בלבד (ר' נספח ד' לתצהיר הנתבע).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התובעת נשאלה בחקירתה אודות שיעור ההוצאות שנתבעו על ידה וטענה בתוקף כי אלו משקפים את ההוצאות בפועל; ברם כשנשאלה מדוע לא צורפו אסמכתאות לביסוס עתירותיה, השיבה כי ככל הנדרש, תצרף את הקבלות (ר' בעמ' 23, ש' 9-12  וכן בעמ' 38 לפרוט' הדיון מיום 17.4.2024). מצאתי את תשובותיה של התובעת בסוגיה זו כמתחמקות ולמצער כבלתי ענייניות.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 xml:space="preserve">בהינתן האמור, בהתאם לנוהג המקובל בפסיקה כאשר עסקינן בחלוקת זמנים שווה, מצאתי להעמיד את צרכי הקטינה על סך של 2,250 ₪ בחודש. מכאן ייגזר חלקו היחסי של כל הורה בנשיאה בצרכים אלו. </w:t>
      </w:r>
    </w:p>
    <w:p w:rsidR="00741573" w:rsidRDefault="00741573" w:rsidP="00741573">
      <w:pPr>
        <w:pStyle w:val="a4"/>
      </w:pPr>
    </w:p>
    <w:p w:rsidR="00741573" w:rsidRDefault="00741573" w:rsidP="00741573">
      <w:pPr>
        <w:pStyle w:val="a4"/>
        <w:numPr>
          <w:ilvl w:val="0"/>
          <w:numId w:val="1"/>
        </w:numPr>
        <w:spacing w:line="360" w:lineRule="auto"/>
        <w:jc w:val="both"/>
        <w:rPr>
          <w:rtl/>
        </w:rPr>
      </w:pPr>
      <w:r>
        <w:rPr>
          <w:rtl/>
        </w:rPr>
        <w:t>אשר למדור הקטינה, והואיל ומטענות התובעת עולה, כי למצער היא אינה נושאת בהחזר משכנתא וכאשר מטעמה לא צורפו אסמכתאות לעניין הוצאות אחזקת המדור, מצאתי להעמיד את חלקה של הקטינה בהוצאות אחזקת מדור על סך של 450 ₪ בחודש.</w:t>
      </w:r>
    </w:p>
    <w:p w:rsidR="00741573" w:rsidRDefault="00741573" w:rsidP="00741573">
      <w:pPr>
        <w:pStyle w:val="a4"/>
        <w:rPr>
          <w:highlight w:val="yellow"/>
        </w:rPr>
      </w:pPr>
    </w:p>
    <w:p w:rsidR="00741573" w:rsidRDefault="00741573" w:rsidP="00741573">
      <w:pPr>
        <w:pStyle w:val="a4"/>
        <w:numPr>
          <w:ilvl w:val="0"/>
          <w:numId w:val="1"/>
        </w:numPr>
        <w:spacing w:line="360" w:lineRule="auto"/>
        <w:jc w:val="both"/>
        <w:rPr>
          <w:rFonts w:ascii="David" w:hAnsi="David"/>
          <w:rtl/>
        </w:rPr>
      </w:pPr>
      <w:r>
        <w:rPr>
          <w:rFonts w:ascii="David" w:hAnsi="David"/>
          <w:rtl/>
        </w:rPr>
        <w:lastRenderedPageBreak/>
        <w:t>אשר על כן, בהינתן כלל המקובץ לעיל, מצאתי להורות כדלקמן:</w:t>
      </w:r>
    </w:p>
    <w:p w:rsidR="00741573" w:rsidRDefault="00741573" w:rsidP="00741573">
      <w:pPr>
        <w:pStyle w:val="a4"/>
        <w:spacing w:line="360" w:lineRule="auto"/>
        <w:ind w:left="360"/>
        <w:jc w:val="both"/>
        <w:rPr>
          <w:rFonts w:ascii="David" w:hAnsi="David"/>
          <w:rtl/>
        </w:rPr>
      </w:pPr>
    </w:p>
    <w:p w:rsidR="00741573" w:rsidRDefault="00741573" w:rsidP="00741573">
      <w:pPr>
        <w:pStyle w:val="a4"/>
        <w:numPr>
          <w:ilvl w:val="0"/>
          <w:numId w:val="4"/>
        </w:numPr>
        <w:spacing w:after="160" w:line="360" w:lineRule="auto"/>
        <w:jc w:val="both"/>
        <w:rPr>
          <w:rFonts w:asciiTheme="minorHAnsi" w:hAnsiTheme="minorHAnsi"/>
          <w:rtl/>
        </w:rPr>
      </w:pPr>
      <w:r>
        <w:rPr>
          <w:rtl/>
        </w:rPr>
        <w:t xml:space="preserve">הנתבע ישלם לאם עבור מזונות הקטינה הכוללים הוצאות אחזקת מדור סך של 465 ₪ בחודש. </w:t>
      </w:r>
    </w:p>
    <w:p w:rsidR="00741573" w:rsidRDefault="00741573" w:rsidP="00741573">
      <w:pPr>
        <w:rPr>
          <w:rFonts w:ascii="David" w:hAnsi="David"/>
        </w:rPr>
      </w:pPr>
    </w:p>
    <w:p w:rsidR="00741573" w:rsidRDefault="00741573" w:rsidP="00741573">
      <w:pPr>
        <w:pStyle w:val="a4"/>
        <w:numPr>
          <w:ilvl w:val="0"/>
          <w:numId w:val="4"/>
        </w:numPr>
        <w:spacing w:after="160" w:line="360" w:lineRule="auto"/>
        <w:jc w:val="both"/>
        <w:rPr>
          <w:rFonts w:asciiTheme="minorHAnsi" w:hAnsiTheme="minorHAnsi"/>
        </w:rPr>
      </w:pPr>
      <w:r>
        <w:rPr>
          <w:rtl/>
        </w:rPr>
        <w:t>המזונות ישולמו החל מ</w:t>
      </w:r>
      <w:r>
        <w:rPr>
          <w:rFonts w:hint="cs"/>
          <w:rtl/>
        </w:rPr>
        <w:t xml:space="preserve">חודש אוגוסט 2024, בהינתן </w:t>
      </w:r>
      <w:r>
        <w:rPr>
          <w:rtl/>
        </w:rPr>
        <w:t>מועד מתן פסק הדין</w:t>
      </w:r>
      <w:r>
        <w:rPr>
          <w:rFonts w:hint="cs"/>
          <w:rtl/>
        </w:rPr>
        <w:t>,</w:t>
      </w:r>
      <w:r>
        <w:rPr>
          <w:rtl/>
        </w:rPr>
        <w:t xml:space="preserve"> ועד הגיע הקטינה  לגיל 18 או עד לסיום לימודי התיכון - לפי המאוחר מבין שני המועדים; היה והקטינה תשרת בצה"ל או בשירות הלאומי, האב ימשיך לשלם מזונות לאם עד לתום תקופת שירות החובה או הלאומי, כשהסכום יעמוד על </w:t>
      </w:r>
      <w:r>
        <w:rPr>
          <w:u w:val="single"/>
          <w:rtl/>
        </w:rPr>
        <w:t>שליש</w:t>
      </w:r>
      <w:r>
        <w:rPr>
          <w:rtl/>
        </w:rPr>
        <w:t xml:space="preserve"> מהסכום הנקוב לעיל, בערכו הצמוד כאמור בס"ק ב להלן.  </w:t>
      </w:r>
    </w:p>
    <w:p w:rsidR="00741573" w:rsidRDefault="00741573" w:rsidP="00741573">
      <w:pPr>
        <w:pStyle w:val="a4"/>
      </w:pPr>
    </w:p>
    <w:p w:rsidR="00741573" w:rsidRDefault="00741573" w:rsidP="00741573">
      <w:pPr>
        <w:pStyle w:val="a4"/>
        <w:numPr>
          <w:ilvl w:val="0"/>
          <w:numId w:val="4"/>
        </w:numPr>
        <w:spacing w:after="160" w:line="360" w:lineRule="auto"/>
        <w:jc w:val="both"/>
        <w:rPr>
          <w:rtl/>
        </w:rPr>
      </w:pPr>
      <w:r>
        <w:rPr>
          <w:rtl/>
        </w:rPr>
        <w:t xml:space="preserve">דמי המזונות ישולמו, מידי חודש בחודשו, עד ה-10 לחודש עבור אותו חודש, כשהסכום הנקוב בס"ק א' לעיל יהיה צמוד למדד המחירים לצרכן על בסיס המדד הידוע היום ויעודכן כל שלושה חודשים ללא תשלום הפרשים למפרע. </w:t>
      </w:r>
    </w:p>
    <w:p w:rsidR="00741573" w:rsidRDefault="00741573" w:rsidP="00741573">
      <w:pPr>
        <w:pStyle w:val="a4"/>
      </w:pPr>
    </w:p>
    <w:p w:rsidR="00741573" w:rsidRDefault="00741573" w:rsidP="00741573">
      <w:pPr>
        <w:pStyle w:val="a4"/>
        <w:numPr>
          <w:ilvl w:val="0"/>
          <w:numId w:val="4"/>
        </w:numPr>
        <w:spacing w:after="160" w:line="360" w:lineRule="auto"/>
        <w:jc w:val="both"/>
        <w:rPr>
          <w:rtl/>
        </w:rPr>
      </w:pPr>
      <w:r>
        <w:rPr>
          <w:rtl/>
        </w:rPr>
        <w:t>כל קיצבה או מענק המשולם ע"י המוסד לביטוח לאומי בגין הקטינה, לרבות קיצבת ילדים, קצבת נכות מענק לימודים וכיו"ב, ישולמו לאם בנוסף לדמי המזונות.</w:t>
      </w:r>
    </w:p>
    <w:p w:rsidR="00741573" w:rsidRDefault="00741573" w:rsidP="00741573">
      <w:pPr>
        <w:pStyle w:val="a4"/>
      </w:pPr>
    </w:p>
    <w:p w:rsidR="00741573" w:rsidRDefault="00741573" w:rsidP="00741573">
      <w:pPr>
        <w:pStyle w:val="a4"/>
        <w:numPr>
          <w:ilvl w:val="0"/>
          <w:numId w:val="4"/>
        </w:numPr>
        <w:spacing w:after="160" w:line="360" w:lineRule="auto"/>
        <w:jc w:val="both"/>
        <w:rPr>
          <w:rtl/>
        </w:rPr>
      </w:pPr>
      <w:r>
        <w:rPr>
          <w:rtl/>
        </w:rPr>
        <w:t xml:space="preserve">כל הודעה או מידע לרבות מסמכים, בכל הקשור לחיובי המזונות, שעל הורה אחד להעביר להורה השני, יועבר באחד מאופני התקשורת הבאים - להלן: "תקשורת מתועדת": </w:t>
      </w:r>
      <w:r>
        <w:rPr>
          <w:u w:val="single"/>
          <w:rtl/>
        </w:rPr>
        <w:t>תקשורת סלולרית</w:t>
      </w:r>
      <w:r>
        <w:rPr>
          <w:rtl/>
        </w:rPr>
        <w:t xml:space="preserve"> (</w:t>
      </w:r>
      <w:r>
        <w:t>WhatsApp</w:t>
      </w:r>
      <w:r>
        <w:rPr>
          <w:rtl/>
        </w:rPr>
        <w:t xml:space="preserve">/ מסרונים/ מיילים) כאשר ההורה השולח איננו מחוייב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  </w:t>
      </w:r>
    </w:p>
    <w:p w:rsidR="00741573" w:rsidRDefault="00741573" w:rsidP="00741573">
      <w:pPr>
        <w:pStyle w:val="a4"/>
        <w:spacing w:line="360" w:lineRule="auto"/>
        <w:ind w:left="360"/>
        <w:jc w:val="both"/>
      </w:pPr>
    </w:p>
    <w:p w:rsidR="00741573" w:rsidRDefault="00741573" w:rsidP="00741573">
      <w:pPr>
        <w:pStyle w:val="a4"/>
        <w:numPr>
          <w:ilvl w:val="0"/>
          <w:numId w:val="4"/>
        </w:numPr>
        <w:spacing w:after="160" w:line="360" w:lineRule="auto"/>
        <w:jc w:val="both"/>
        <w:rPr>
          <w:rtl/>
        </w:rPr>
      </w:pPr>
      <w:r>
        <w:rPr>
          <w:rFonts w:hint="cs"/>
          <w:rtl/>
        </w:rPr>
        <w:t xml:space="preserve">באיזון שאותו מצאתי כראוי במכלול הנסיבות, אני מורה כי </w:t>
      </w:r>
      <w:r>
        <w:rPr>
          <w:rtl/>
        </w:rPr>
        <w:t xml:space="preserve">הצדדים יישאו בחלקים </w:t>
      </w:r>
      <w:r>
        <w:rPr>
          <w:rFonts w:hint="cs"/>
          <w:rtl/>
        </w:rPr>
        <w:t xml:space="preserve">בלתי </w:t>
      </w:r>
      <w:r>
        <w:rPr>
          <w:rtl/>
        </w:rPr>
        <w:t xml:space="preserve">שווים ביניהם </w:t>
      </w:r>
      <w:r>
        <w:rPr>
          <w:rFonts w:hint="cs"/>
          <w:rtl/>
        </w:rPr>
        <w:t>באופן שבו האם תשא ב-45% והאב ב-55% מה</w:t>
      </w:r>
      <w:r>
        <w:rPr>
          <w:rtl/>
        </w:rPr>
        <w:t xml:space="preserve">הוצאות רפואיות מכל מין וסוג שהוא, לרבות רפואת שיניים כולל אורתודנטיה, משקפיים/עדשות מגע, טיפולים פסיכולוגיים/ריגשיים, איבחונים לרבות איבחוני ליקוי למידה, וכל הוצאה רפואית אחרת אשר איננה מכוסה (במלואה או בחלקה) על ידי קופ"ח ובכלל זה הפרשים בגין אותה הוצאה חריגה לאחר קבלת החזר מכל מקור שהוא. </w:t>
      </w:r>
    </w:p>
    <w:p w:rsidR="00741573" w:rsidRDefault="00741573" w:rsidP="00741573">
      <w:pPr>
        <w:pStyle w:val="a4"/>
        <w:rPr>
          <w:rtl/>
        </w:rPr>
      </w:pPr>
    </w:p>
    <w:p w:rsidR="00741573" w:rsidRDefault="00741573" w:rsidP="00741573">
      <w:pPr>
        <w:pStyle w:val="a4"/>
        <w:numPr>
          <w:ilvl w:val="0"/>
          <w:numId w:val="4"/>
        </w:numPr>
        <w:spacing w:after="160" w:line="360" w:lineRule="auto"/>
        <w:jc w:val="both"/>
        <w:rPr>
          <w:rtl/>
        </w:rPr>
      </w:pPr>
      <w:r>
        <w:rPr>
          <w:rtl/>
        </w:rPr>
        <w:t>כל הוצאה רפואית כנ"ל תעשה על יסוד אסמכתא מגורם רלוונטי המאשר את נחיצותה, אשר תועבר מהורה אחד לשני בתקשורת המתועדת</w:t>
      </w:r>
      <w:r>
        <w:rPr>
          <w:b/>
          <w:bCs/>
          <w:rtl/>
        </w:rPr>
        <w:t xml:space="preserve"> טרם</w:t>
      </w:r>
      <w:r>
        <w:rPr>
          <w:rtl/>
        </w:rPr>
        <w:t xml:space="preserve"> הוצאת ההוצאה/קבלת הטיפול, על מנת לאפשר להורה השני לבדוק האמור בתוך 10 ימים מיום משלוח האסמכתא.</w:t>
      </w:r>
    </w:p>
    <w:p w:rsidR="00741573" w:rsidRDefault="00741573" w:rsidP="00741573">
      <w:pPr>
        <w:pStyle w:val="a4"/>
        <w:rPr>
          <w:rtl/>
        </w:rPr>
      </w:pPr>
    </w:p>
    <w:p w:rsidR="00741573" w:rsidRDefault="00741573" w:rsidP="002A2A90">
      <w:pPr>
        <w:pStyle w:val="a4"/>
        <w:numPr>
          <w:ilvl w:val="0"/>
          <w:numId w:val="4"/>
        </w:numPr>
        <w:spacing w:after="160" w:line="360" w:lineRule="auto"/>
        <w:jc w:val="both"/>
        <w:rPr>
          <w:rtl/>
        </w:rPr>
      </w:pPr>
      <w:r>
        <w:rPr>
          <w:rFonts w:hint="cs"/>
          <w:rtl/>
        </w:rPr>
        <w:t xml:space="preserve">כך גם </w:t>
      </w:r>
      <w:r>
        <w:rPr>
          <w:rtl/>
        </w:rPr>
        <w:t xml:space="preserve">הצדדים יישאו בחלקים </w:t>
      </w:r>
      <w:r>
        <w:rPr>
          <w:rFonts w:hint="cs"/>
          <w:rtl/>
        </w:rPr>
        <w:t xml:space="preserve">בלתי </w:t>
      </w:r>
      <w:r>
        <w:rPr>
          <w:rtl/>
        </w:rPr>
        <w:t xml:space="preserve">שווים ביניהם </w:t>
      </w:r>
      <w:r>
        <w:rPr>
          <w:rFonts w:hint="cs"/>
          <w:rtl/>
        </w:rPr>
        <w:t xml:space="preserve">באופן שבו האם תשא ב-45% והאב </w:t>
      </w:r>
      <w:r>
        <w:rPr>
          <w:rtl/>
        </w:rPr>
        <w:br/>
      </w:r>
      <w:r>
        <w:rPr>
          <w:rFonts w:hint="cs"/>
          <w:rtl/>
        </w:rPr>
        <w:t>ב-55% מה</w:t>
      </w:r>
      <w:r>
        <w:rPr>
          <w:rtl/>
        </w:rPr>
        <w:t xml:space="preserve">וצאות החינוך על פי דרישת מערכת החינוך או המסגרת החינוכית, לאחר קיזוז קצבת חינוך שתשלם לידי האם בתחילת כל שנה ע"י המל"ל (ככל ותשתלם) לרבות אגרות </w:t>
      </w:r>
      <w:r>
        <w:rPr>
          <w:rtl/>
        </w:rPr>
        <w:lastRenderedPageBreak/>
        <w:t xml:space="preserve">חינוך, שכר לימוד וכל תשלום אחר הנדרש לתשלום ישירות למערכת החינוכית או למסגרת החינוכית לרבות ועד הורים, וכן מעון, צהרון, חוגים (חוג לכל קטין בעלות מתנ"ס) שיעורי עזר/ הוראה מתקנת (בהעדר הסכמה – עפ"י המלצת הגורם הרלוונטי), תנועת נוער, קייטנות (מחזור אחד בעלות מתנ"ס). </w:t>
      </w:r>
    </w:p>
    <w:p w:rsidR="00741573" w:rsidRDefault="00741573" w:rsidP="00741573"/>
    <w:p w:rsidR="00741573" w:rsidRDefault="00741573" w:rsidP="00741573">
      <w:pPr>
        <w:pStyle w:val="a4"/>
        <w:numPr>
          <w:ilvl w:val="0"/>
          <w:numId w:val="4"/>
        </w:numPr>
        <w:spacing w:after="160" w:line="360" w:lineRule="auto"/>
        <w:jc w:val="both"/>
        <w:rPr>
          <w:rtl/>
        </w:rPr>
      </w:pPr>
      <w:r>
        <w:rPr>
          <w:rtl/>
        </w:rPr>
        <w:t xml:space="preserve">כל הוצאה אחרת שלא נכללת בס"ק ה-ו לעיל, יישאו בה שני ההורים בחלקים שווים </w:t>
      </w:r>
      <w:r>
        <w:rPr>
          <w:b/>
          <w:bCs/>
          <w:rtl/>
        </w:rPr>
        <w:t>ובלבד</w:t>
      </w:r>
      <w:r>
        <w:rPr>
          <w:rtl/>
        </w:rPr>
        <w:t xml:space="preserve"> ששני ההורים הסכימו להוצאה זו באופן מתועד (לרבות בתקשורת המתועדת)</w:t>
      </w:r>
    </w:p>
    <w:p w:rsidR="00741573" w:rsidRDefault="00741573" w:rsidP="00741573">
      <w:pPr>
        <w:pStyle w:val="a4"/>
      </w:pPr>
    </w:p>
    <w:p w:rsidR="00741573" w:rsidRDefault="00741573" w:rsidP="00741573">
      <w:pPr>
        <w:pStyle w:val="a4"/>
        <w:numPr>
          <w:ilvl w:val="0"/>
          <w:numId w:val="4"/>
        </w:numPr>
        <w:spacing w:after="160" w:line="360" w:lineRule="auto"/>
        <w:jc w:val="both"/>
        <w:rPr>
          <w:rtl/>
        </w:rPr>
      </w:pPr>
      <w:r>
        <w:rPr>
          <w:rtl/>
        </w:rPr>
        <w:t>הורה אשר יישא במלוא הסכומים בגין ההוצאות המפורטות בס"ק ה-ז לעיל (להלן: "ההורה המשלם") יקבל מהורה השני (להלן: "ההורה החייב") את חלקו בהתאם לאמור לעיל, וזאת בתוך 10 ימים מיום שההורה המשלם שלח להורה החייב בתקשורת המתועדת דרישה בצירוף האסמכתא הרלוונטית על התשלום הנדרש, ובתנאי שהמשלוח ייעשה לא יאוחר מחצי שנה לאחר ההוצאה.</w:t>
      </w:r>
    </w:p>
    <w:p w:rsidR="00741573" w:rsidRDefault="00741573" w:rsidP="00741573">
      <w:pPr>
        <w:pStyle w:val="a4"/>
      </w:pPr>
    </w:p>
    <w:p w:rsidR="00741573" w:rsidRDefault="00741573" w:rsidP="00741573">
      <w:pPr>
        <w:pStyle w:val="a4"/>
        <w:spacing w:line="360" w:lineRule="auto"/>
        <w:jc w:val="both"/>
        <w:rPr>
          <w:rtl/>
        </w:rPr>
      </w:pPr>
      <w:r>
        <w:rPr>
          <w:rtl/>
        </w:rPr>
        <w:t>לחילופין רשאי ההורה החייב להודיע להורה המשלם בתקשורת המתועדת בתוך עשרת הימים דלעיל, כי הוא ישלם את חלקו ישירות לגורם נותן השירות.</w:t>
      </w:r>
    </w:p>
    <w:p w:rsidR="00741573" w:rsidRDefault="00741573" w:rsidP="00741573">
      <w:pPr>
        <w:spacing w:line="360" w:lineRule="auto"/>
        <w:jc w:val="both"/>
        <w:rPr>
          <w:rtl/>
        </w:rPr>
      </w:pPr>
    </w:p>
    <w:p w:rsidR="00741573" w:rsidRDefault="00741573" w:rsidP="00741573">
      <w:pPr>
        <w:pStyle w:val="a4"/>
        <w:rPr>
          <w:rtl/>
        </w:rPr>
      </w:pPr>
    </w:p>
    <w:p w:rsidR="00741573" w:rsidRDefault="00741573" w:rsidP="00741573">
      <w:pPr>
        <w:pStyle w:val="a4"/>
        <w:spacing w:line="360" w:lineRule="auto"/>
        <w:ind w:left="360"/>
        <w:jc w:val="both"/>
        <w:rPr>
          <w:b/>
          <w:bCs/>
          <w:u w:val="single"/>
          <w:rtl/>
        </w:rPr>
      </w:pPr>
      <w:r>
        <w:rPr>
          <w:b/>
          <w:bCs/>
          <w:u w:val="single"/>
          <w:rtl/>
        </w:rPr>
        <w:t>סוף דבר</w:t>
      </w:r>
    </w:p>
    <w:p w:rsidR="00741573" w:rsidRDefault="00741573" w:rsidP="00741573">
      <w:pPr>
        <w:pStyle w:val="a4"/>
        <w:numPr>
          <w:ilvl w:val="0"/>
          <w:numId w:val="1"/>
        </w:numPr>
        <w:spacing w:line="360" w:lineRule="auto"/>
        <w:jc w:val="both"/>
        <w:rPr>
          <w:rFonts w:ascii="David" w:hAnsi="David"/>
        </w:rPr>
      </w:pPr>
      <w:r>
        <w:rPr>
          <w:rFonts w:ascii="David" w:hAnsi="David"/>
          <w:rtl/>
        </w:rPr>
        <w:t xml:space="preserve">תביעת המזונות התקבלה באופן שנקבע לעיל. </w:t>
      </w:r>
    </w:p>
    <w:p w:rsidR="00741573" w:rsidRDefault="00741573" w:rsidP="00741573">
      <w:pPr>
        <w:rPr>
          <w:rFonts w:ascii="David" w:hAnsi="David"/>
        </w:rPr>
      </w:pPr>
    </w:p>
    <w:p w:rsidR="00741573" w:rsidRDefault="00741573" w:rsidP="00741573">
      <w:pPr>
        <w:pStyle w:val="a4"/>
        <w:numPr>
          <w:ilvl w:val="0"/>
          <w:numId w:val="1"/>
        </w:numPr>
        <w:spacing w:line="360" w:lineRule="auto"/>
        <w:jc w:val="both"/>
        <w:rPr>
          <w:rFonts w:ascii="David" w:hAnsi="David"/>
          <w:rtl/>
        </w:rPr>
      </w:pPr>
      <w:r>
        <w:rPr>
          <w:rFonts w:ascii="David" w:hAnsi="David"/>
          <w:rtl/>
        </w:rPr>
        <w:t>בהינתן תוצאות פסק דיני זה, ומתוך תקווה כי הצדדים ישכילו לפעול בשיתוף פעולה למען טובת בתם המשותפת</w:t>
      </w:r>
      <w:r>
        <w:rPr>
          <w:rFonts w:ascii="David" w:hAnsi="David" w:hint="cs"/>
          <w:rtl/>
        </w:rPr>
        <w:t>,</w:t>
      </w:r>
      <w:r>
        <w:rPr>
          <w:rFonts w:ascii="David" w:hAnsi="David"/>
          <w:rtl/>
        </w:rPr>
        <w:t xml:space="preserve"> מצאתי להורות כי כל צד יישא בהוצאותיו. </w:t>
      </w:r>
    </w:p>
    <w:p w:rsidR="00741573" w:rsidRDefault="00741573" w:rsidP="00741573">
      <w:pPr>
        <w:pStyle w:val="a4"/>
        <w:rPr>
          <w:rFonts w:ascii="David" w:hAnsi="David"/>
        </w:rPr>
      </w:pPr>
    </w:p>
    <w:p w:rsidR="00741573" w:rsidRDefault="00741573" w:rsidP="00741573">
      <w:pPr>
        <w:pStyle w:val="a4"/>
        <w:spacing w:after="160" w:line="360" w:lineRule="auto"/>
        <w:ind w:left="360"/>
        <w:jc w:val="both"/>
        <w:rPr>
          <w:rFonts w:ascii="David" w:hAnsi="David"/>
          <w:u w:val="single"/>
          <w:rtl/>
        </w:rPr>
      </w:pPr>
      <w:r>
        <w:rPr>
          <w:rFonts w:ascii="David" w:hAnsi="David"/>
          <w:u w:val="single"/>
          <w:rtl/>
        </w:rPr>
        <w:t>המזכירות תשלח את פסק הדין ותסגור את התיק שבכותרת</w:t>
      </w:r>
      <w:r>
        <w:rPr>
          <w:rFonts w:ascii="David" w:hAnsi="David"/>
          <w:rtl/>
        </w:rPr>
        <w:t>.</w:t>
      </w:r>
    </w:p>
    <w:p w:rsidR="00741573" w:rsidRDefault="00741573" w:rsidP="0074157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אוגוסט 2024</w:t>
          </w:r>
        </w:sdtContent>
      </w:sdt>
      <w:r>
        <w:rPr>
          <w:rFonts w:ascii="Arial" w:hAnsi="Arial"/>
          <w:noProof w:val="0"/>
          <w:rtl/>
        </w:rPr>
        <w:t>, בהעדר הצדדים.</w:t>
      </w:r>
    </w:p>
    <w:p w:rsidR="00741573" w:rsidRDefault="00741573" w:rsidP="00741573">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90D7429E6E1641A4A2568FCA8817E065"/>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741573" w:rsidRDefault="0041644A" w:rsidP="00741573">
      <w:pPr>
        <w:spacing w:line="360" w:lineRule="auto"/>
        <w:ind w:left="3600" w:firstLine="720"/>
      </w:pPr>
      <w:sdt>
        <w:sdtPr>
          <w:rPr>
            <w:rtl/>
          </w:rPr>
          <w:alias w:val="MergeField"/>
          <w:tag w:val="1237"/>
          <w:id w:val="-1576669943"/>
        </w:sdtPr>
        <w:sdtEndPr/>
        <w:sdtContent>
          <w:r w:rsidR="00741573">
            <w:drawing>
              <wp:inline distT="0" distB="0" distL="0" distR="0" wp14:anchorId="7D57E880" wp14:editId="307F66BE">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62025"/>
                        </a:xfrm>
                        <a:prstGeom prst="rect">
                          <a:avLst/>
                        </a:prstGeom>
                      </pic:spPr>
                    </pic:pic>
                  </a:graphicData>
                </a:graphic>
              </wp:inline>
            </w:drawing>
          </w:r>
        </w:sdtContent>
      </w:sdt>
    </w:p>
    <w:p w:rsidR="00741573" w:rsidRDefault="00741573" w:rsidP="00741573">
      <w:pPr>
        <w:spacing w:line="360" w:lineRule="auto"/>
        <w:ind w:left="3600" w:firstLine="720"/>
        <w:rPr>
          <w:rFonts w:ascii="Arial" w:hAnsi="Arial"/>
          <w:noProof w:val="0"/>
          <w:rtl/>
        </w:rPr>
      </w:pPr>
    </w:p>
    <w:p w:rsidR="00741573" w:rsidRDefault="00741573" w:rsidP="00741573">
      <w:pPr>
        <w:spacing w:line="360" w:lineRule="auto"/>
        <w:jc w:val="both"/>
        <w:rPr>
          <w:rFonts w:ascii="Arial" w:hAnsi="Arial"/>
          <w:noProof w:val="0"/>
          <w:rtl/>
        </w:rPr>
      </w:pPr>
    </w:p>
    <w:p w:rsidR="00EB2983" w:rsidRDefault="00EB2983"/>
    <w:sectPr w:rsidR="00EB2983" w:rsidSect="0040557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44A" w:rsidRDefault="0041644A" w:rsidP="00E00392">
      <w:r>
        <w:separator/>
      </w:r>
    </w:p>
  </w:endnote>
  <w:endnote w:type="continuationSeparator" w:id="0">
    <w:p w:rsidR="0041644A" w:rsidRDefault="0041644A" w:rsidP="00E0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A9" w:rsidRDefault="00885CA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A9" w:rsidRDefault="00885CA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A9" w:rsidRDefault="00885CA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44A" w:rsidRDefault="0041644A" w:rsidP="00E00392">
      <w:r>
        <w:separator/>
      </w:r>
    </w:p>
  </w:footnote>
  <w:footnote w:type="continuationSeparator" w:id="0">
    <w:p w:rsidR="0041644A" w:rsidRDefault="0041644A" w:rsidP="00E0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A9" w:rsidRDefault="00885CA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392" w:rsidRDefault="00E00392">
    <w:pPr>
      <w:pStyle w:val="a5"/>
    </w:pPr>
    <w:r>
      <w:rPr>
        <w:rFonts w:hint="cs"/>
        <w:rtl/>
      </w:rPr>
      <w:t>תלה"מ 47813-08-21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CA9" w:rsidRDefault="00885CA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5A1"/>
    <w:multiLevelType w:val="hybridMultilevel"/>
    <w:tmpl w:val="679A136C"/>
    <w:lvl w:ilvl="0" w:tplc="C388F16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AB53B60"/>
    <w:multiLevelType w:val="hybridMultilevel"/>
    <w:tmpl w:val="A2180B2A"/>
    <w:lvl w:ilvl="0" w:tplc="C8E0C3B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AF93C5D"/>
    <w:multiLevelType w:val="hybridMultilevel"/>
    <w:tmpl w:val="8954F7B0"/>
    <w:lvl w:ilvl="0" w:tplc="48DCA8E0">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F92615E"/>
    <w:multiLevelType w:val="hybridMultilevel"/>
    <w:tmpl w:val="EF2064BA"/>
    <w:lvl w:ilvl="0" w:tplc="2AE60318">
      <w:start w:val="1"/>
      <w:numFmt w:val="hebrew1"/>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573"/>
    <w:rsid w:val="00262A9C"/>
    <w:rsid w:val="002A2A90"/>
    <w:rsid w:val="0035530B"/>
    <w:rsid w:val="00405579"/>
    <w:rsid w:val="0041644A"/>
    <w:rsid w:val="00541381"/>
    <w:rsid w:val="00664810"/>
    <w:rsid w:val="00741573"/>
    <w:rsid w:val="00810A9B"/>
    <w:rsid w:val="00875F70"/>
    <w:rsid w:val="00885CA9"/>
    <w:rsid w:val="009A10D5"/>
    <w:rsid w:val="009C2BD8"/>
    <w:rsid w:val="00A24607"/>
    <w:rsid w:val="00AC7738"/>
    <w:rsid w:val="00C07D83"/>
    <w:rsid w:val="00E00392"/>
    <w:rsid w:val="00E807F1"/>
    <w:rsid w:val="00EA6451"/>
    <w:rsid w:val="00EB2983"/>
    <w:rsid w:val="00F00B2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E0153A-1DC0-4FB6-B830-7E581EA0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7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4157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41573"/>
    <w:pPr>
      <w:ind w:left="720"/>
      <w:contextualSpacing/>
    </w:pPr>
  </w:style>
  <w:style w:type="paragraph" w:styleId="a5">
    <w:name w:val="header"/>
    <w:basedOn w:val="a"/>
    <w:link w:val="a6"/>
    <w:uiPriority w:val="99"/>
    <w:unhideWhenUsed/>
    <w:rsid w:val="00E00392"/>
    <w:pPr>
      <w:tabs>
        <w:tab w:val="center" w:pos="4153"/>
        <w:tab w:val="right" w:pos="8306"/>
      </w:tabs>
    </w:pPr>
  </w:style>
  <w:style w:type="character" w:customStyle="1" w:styleId="a6">
    <w:name w:val="כותרת עליונה תו"/>
    <w:basedOn w:val="a0"/>
    <w:link w:val="a5"/>
    <w:uiPriority w:val="99"/>
    <w:rsid w:val="00E00392"/>
    <w:rPr>
      <w:rFonts w:ascii="Times New Roman" w:eastAsia="Times New Roman" w:hAnsi="Times New Roman" w:cs="David"/>
      <w:noProof/>
      <w:sz w:val="24"/>
      <w:szCs w:val="24"/>
    </w:rPr>
  </w:style>
  <w:style w:type="paragraph" w:styleId="a7">
    <w:name w:val="footer"/>
    <w:basedOn w:val="a"/>
    <w:link w:val="a8"/>
    <w:uiPriority w:val="99"/>
    <w:unhideWhenUsed/>
    <w:rsid w:val="00E00392"/>
    <w:pPr>
      <w:tabs>
        <w:tab w:val="center" w:pos="4153"/>
        <w:tab w:val="right" w:pos="8306"/>
      </w:tabs>
    </w:pPr>
  </w:style>
  <w:style w:type="character" w:customStyle="1" w:styleId="a8">
    <w:name w:val="כותרת תחתונה תו"/>
    <w:basedOn w:val="a0"/>
    <w:link w:val="a7"/>
    <w:uiPriority w:val="99"/>
    <w:rsid w:val="00E0039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D7429E6E1641A4A2568FCA8817E065"/>
        <w:category>
          <w:name w:val="כללי"/>
          <w:gallery w:val="placeholder"/>
        </w:category>
        <w:types>
          <w:type w:val="bbPlcHdr"/>
        </w:types>
        <w:behaviors>
          <w:behavior w:val="content"/>
        </w:behaviors>
        <w:guid w:val="{32493EE3-301F-4CCD-967D-A69FB68BAEC4}"/>
      </w:docPartPr>
      <w:docPartBody>
        <w:p w:rsidR="00A9564B" w:rsidRDefault="000C262B" w:rsidP="000C262B">
          <w:pPr>
            <w:pStyle w:val="90D7429E6E1641A4A2568FCA8817E065"/>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62B"/>
    <w:rsid w:val="000C262B"/>
    <w:rsid w:val="00191C50"/>
    <w:rsid w:val="00387CC5"/>
    <w:rsid w:val="00A956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A779B71C44B495D899F87752335B6A5">
    <w:name w:val="9A779B71C44B495D899F87752335B6A5"/>
    <w:rsid w:val="000C262B"/>
    <w:pPr>
      <w:bidi/>
    </w:pPr>
  </w:style>
  <w:style w:type="paragraph" w:customStyle="1" w:styleId="5A87ABD4032A434886325E39C569D07B">
    <w:name w:val="5A87ABD4032A434886325E39C569D07B"/>
    <w:rsid w:val="000C262B"/>
    <w:pPr>
      <w:bidi/>
    </w:pPr>
  </w:style>
  <w:style w:type="paragraph" w:customStyle="1" w:styleId="F703EA586E564D88A28FE9EC2433B895">
    <w:name w:val="F703EA586E564D88A28FE9EC2433B895"/>
    <w:rsid w:val="000C262B"/>
    <w:pPr>
      <w:bidi/>
    </w:pPr>
  </w:style>
  <w:style w:type="paragraph" w:customStyle="1" w:styleId="20024180F91A4182BFE06B94E8B20290">
    <w:name w:val="20024180F91A4182BFE06B94E8B20290"/>
    <w:rsid w:val="000C262B"/>
    <w:pPr>
      <w:bidi/>
    </w:pPr>
  </w:style>
  <w:style w:type="character" w:styleId="a3">
    <w:name w:val="Placeholder Text"/>
    <w:basedOn w:val="a0"/>
    <w:uiPriority w:val="99"/>
    <w:semiHidden/>
    <w:rsid w:val="000C262B"/>
    <w:rPr>
      <w:color w:val="808080"/>
    </w:rPr>
  </w:style>
  <w:style w:type="paragraph" w:customStyle="1" w:styleId="90D7429E6E1641A4A2568FCA8817E065">
    <w:name w:val="90D7429E6E1641A4A2568FCA8817E065"/>
    <w:rsid w:val="000C262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3837</Words>
  <Characters>19189</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נטלי מלאכי</dc:creator>
  <cp:keywords/>
  <dc:description/>
  <cp:lastModifiedBy>אסתר טטרואשילי</cp:lastModifiedBy>
  <cp:revision>2</cp:revision>
  <dcterms:created xsi:type="dcterms:W3CDTF">2024-11-26T07:45:00Z</dcterms:created>
  <dcterms:modified xsi:type="dcterms:W3CDTF">2024-11-26T07:45:00Z</dcterms:modified>
</cp:coreProperties>
</file>